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5A689" w14:textId="5869AA04" w:rsidR="00E203C2" w:rsidRDefault="00E203C2" w:rsidP="00E203C2">
      <w:r>
        <w:rPr>
          <w:noProof/>
          <w:lang w:eastAsia="en-GB" w:bidi="ar-SA"/>
        </w:rPr>
        <w:drawing>
          <wp:inline distT="0" distB="0" distL="0" distR="0" wp14:anchorId="05206A60" wp14:editId="68AC519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632C184" w14:textId="77777777" w:rsidR="00E203C2" w:rsidRDefault="00E203C2" w:rsidP="00E203C2"/>
    <w:p w14:paraId="591DED4F" w14:textId="1A4E74A2" w:rsidR="00150F02" w:rsidRPr="0098203D" w:rsidRDefault="000340F8" w:rsidP="00150F02">
      <w:pPr>
        <w:widowControl/>
        <w:rPr>
          <w:b/>
          <w:sz w:val="28"/>
          <w:szCs w:val="28"/>
          <w:lang w:bidi="ar-SA"/>
        </w:rPr>
      </w:pPr>
      <w:r>
        <w:rPr>
          <w:b/>
          <w:sz w:val="28"/>
          <w:szCs w:val="28"/>
          <w:lang w:bidi="ar-SA"/>
        </w:rPr>
        <w:t>7 July 2017</w:t>
      </w:r>
    </w:p>
    <w:p w14:paraId="6C25CFD4" w14:textId="23BA674B" w:rsidR="00150F02" w:rsidRPr="0098203D" w:rsidRDefault="000340F8" w:rsidP="00150F02">
      <w:pPr>
        <w:widowControl/>
        <w:rPr>
          <w:b/>
          <w:sz w:val="28"/>
          <w:szCs w:val="28"/>
          <w:lang w:bidi="ar-SA"/>
        </w:rPr>
      </w:pPr>
      <w:r>
        <w:rPr>
          <w:b/>
          <w:sz w:val="28"/>
          <w:szCs w:val="28"/>
          <w:lang w:bidi="ar-SA"/>
        </w:rPr>
        <w:t>[17</w:t>
      </w:r>
      <w:bookmarkStart w:id="0" w:name="_GoBack"/>
      <w:bookmarkEnd w:id="0"/>
      <w:r w:rsidR="00150F02" w:rsidRPr="0098203D">
        <w:rPr>
          <w:b/>
          <w:sz w:val="28"/>
          <w:szCs w:val="28"/>
          <w:lang w:bidi="ar-SA"/>
        </w:rPr>
        <w:t>–17]</w:t>
      </w:r>
    </w:p>
    <w:p w14:paraId="102F6A1D" w14:textId="77777777" w:rsidR="0057615C" w:rsidRPr="0057615C" w:rsidRDefault="0057615C" w:rsidP="00690206">
      <w:pPr>
        <w:pStyle w:val="FSTitle"/>
        <w:rPr>
          <w:b/>
          <w:sz w:val="22"/>
        </w:rPr>
      </w:pPr>
    </w:p>
    <w:p w14:paraId="06068240" w14:textId="77777777" w:rsidR="00092CDA" w:rsidRPr="004F2E4C" w:rsidRDefault="00092CDA" w:rsidP="00690206">
      <w:pPr>
        <w:pStyle w:val="FSTitle"/>
        <w:rPr>
          <w:b/>
        </w:rPr>
      </w:pPr>
      <w:r w:rsidRPr="004F2E4C">
        <w:rPr>
          <w:b/>
        </w:rPr>
        <w:t>S</w:t>
      </w:r>
      <w:r w:rsidR="00B12F1E" w:rsidRPr="004F2E4C">
        <w:rPr>
          <w:b/>
        </w:rPr>
        <w:t>upporting document</w:t>
      </w:r>
      <w:r w:rsidRPr="004F2E4C">
        <w:rPr>
          <w:b/>
        </w:rPr>
        <w:t xml:space="preserve"> </w:t>
      </w:r>
      <w:r w:rsidR="004F2E4C" w:rsidRPr="004F2E4C">
        <w:rPr>
          <w:b/>
        </w:rPr>
        <w:t>1</w:t>
      </w:r>
    </w:p>
    <w:p w14:paraId="42BF8F11" w14:textId="77777777" w:rsidR="00BA24E2" w:rsidRPr="004F2E4C" w:rsidRDefault="00BA24E2" w:rsidP="00E203C2"/>
    <w:p w14:paraId="49E05365" w14:textId="77777777" w:rsidR="00D056F1" w:rsidRPr="004F2E4C" w:rsidRDefault="00320839" w:rsidP="00690206">
      <w:pPr>
        <w:pStyle w:val="FSTitle"/>
      </w:pPr>
      <w:r w:rsidRPr="004F2E4C">
        <w:t xml:space="preserve">Risk </w:t>
      </w:r>
      <w:r w:rsidR="004F2E4C" w:rsidRPr="004F2E4C">
        <w:t xml:space="preserve">and technical </w:t>
      </w:r>
      <w:r w:rsidRPr="004F2E4C">
        <w:t>assessment</w:t>
      </w:r>
      <w:r w:rsidR="006B5EBE" w:rsidRPr="004F2E4C">
        <w:t xml:space="preserve"> – </w:t>
      </w:r>
      <w:r w:rsidR="00D056F1" w:rsidRPr="004F2E4C">
        <w:t>A</w:t>
      </w:r>
      <w:r w:rsidR="004F2E4C" w:rsidRPr="004F2E4C">
        <w:t>pplication A1135</w:t>
      </w:r>
    </w:p>
    <w:p w14:paraId="3DEC29D3" w14:textId="77777777" w:rsidR="00E203C2" w:rsidRPr="00690206" w:rsidRDefault="00E203C2" w:rsidP="00690206"/>
    <w:p w14:paraId="240A9979" w14:textId="0CBEF9A8" w:rsidR="00E203C2" w:rsidRDefault="001B44FA" w:rsidP="00E203C2">
      <w:pPr>
        <w:pBdr>
          <w:bottom w:val="single" w:sz="12" w:space="1" w:color="auto"/>
        </w:pBdr>
        <w:spacing w:line="280" w:lineRule="exact"/>
        <w:rPr>
          <w:rFonts w:cs="Tahoma"/>
          <w:bCs/>
          <w:sz w:val="32"/>
        </w:rPr>
      </w:pPr>
      <w:r w:rsidRPr="001B44FA">
        <w:rPr>
          <w:rFonts w:cs="Tahoma"/>
          <w:bCs/>
          <w:sz w:val="32"/>
        </w:rPr>
        <w:t>Beta-galactosidase as a Processing Aid (Enzyme)</w:t>
      </w:r>
    </w:p>
    <w:p w14:paraId="18E80568" w14:textId="77777777" w:rsidR="001B44FA" w:rsidRPr="00B37BF0" w:rsidRDefault="001B44FA" w:rsidP="00E203C2">
      <w:pPr>
        <w:pBdr>
          <w:bottom w:val="single" w:sz="12" w:space="1" w:color="auto"/>
        </w:pBdr>
        <w:spacing w:line="280" w:lineRule="exact"/>
        <w:rPr>
          <w:rFonts w:cs="Arial"/>
          <w:bCs/>
        </w:rPr>
      </w:pPr>
    </w:p>
    <w:p w14:paraId="45AE7E4A" w14:textId="77777777" w:rsidR="00E203C2" w:rsidRPr="00B37BF0" w:rsidRDefault="00E203C2" w:rsidP="00E203C2"/>
    <w:p w14:paraId="522FB3B9" w14:textId="77777777" w:rsidR="00092CDA" w:rsidRPr="00092CDA" w:rsidRDefault="00092CDA" w:rsidP="00352CF2">
      <w:pPr>
        <w:pStyle w:val="Heading1"/>
        <w:spacing w:before="0"/>
      </w:pPr>
      <w:bookmarkStart w:id="1" w:name="_Toc286391001"/>
      <w:bookmarkStart w:id="2" w:name="_Toc300933414"/>
      <w:bookmarkStart w:id="3" w:name="_Toc473540342"/>
      <w:r w:rsidRPr="00092CDA">
        <w:t xml:space="preserve">Executive </w:t>
      </w:r>
      <w:r w:rsidR="00B12F1E">
        <w:t>s</w:t>
      </w:r>
      <w:r w:rsidRPr="00092CDA">
        <w:t>ummary</w:t>
      </w:r>
      <w:bookmarkEnd w:id="1"/>
      <w:bookmarkEnd w:id="2"/>
      <w:bookmarkEnd w:id="3"/>
    </w:p>
    <w:p w14:paraId="015CAAAF" w14:textId="0E57EBED" w:rsidR="00030FD7" w:rsidRDefault="00030FD7" w:rsidP="008D614B">
      <w:r w:rsidRPr="00BB47E2">
        <w:t>Application A11</w:t>
      </w:r>
      <w:r>
        <w:t>35</w:t>
      </w:r>
      <w:r w:rsidRPr="00BB47E2">
        <w:t xml:space="preserve"> seeks approval </w:t>
      </w:r>
      <w:r>
        <w:t>for the use of</w:t>
      </w:r>
      <w:r w:rsidRPr="00BB47E2">
        <w:t xml:space="preserve"> </w:t>
      </w:r>
      <w:r>
        <w:rPr>
          <w:rFonts w:cs="Arial"/>
        </w:rPr>
        <w:t>β</w:t>
      </w:r>
      <w:r>
        <w:t>-galactosidase (lactase)</w:t>
      </w:r>
      <w:r w:rsidRPr="00BB47E2">
        <w:t xml:space="preserve"> </w:t>
      </w:r>
      <w:r w:rsidRPr="00F145AC">
        <w:t xml:space="preserve">from a genetically modified strain of </w:t>
      </w:r>
      <w:r w:rsidRPr="00A1396C">
        <w:rPr>
          <w:rFonts w:cs="Arial"/>
          <w:i/>
          <w:color w:val="000000" w:themeColor="text1"/>
        </w:rPr>
        <w:t>B</w:t>
      </w:r>
      <w:r>
        <w:rPr>
          <w:rFonts w:cs="Arial"/>
          <w:i/>
          <w:color w:val="000000" w:themeColor="text1"/>
        </w:rPr>
        <w:t>acillus</w:t>
      </w:r>
      <w:r w:rsidRPr="00A1396C">
        <w:rPr>
          <w:rFonts w:cs="Arial"/>
          <w:i/>
          <w:color w:val="000000" w:themeColor="text1"/>
        </w:rPr>
        <w:t xml:space="preserve"> licheniformis</w:t>
      </w:r>
      <w:r w:rsidRPr="00A1396C">
        <w:rPr>
          <w:rFonts w:cs="Arial"/>
          <w:color w:val="000000" w:themeColor="text1"/>
        </w:rPr>
        <w:t xml:space="preserve"> </w:t>
      </w:r>
      <w:r w:rsidRPr="00BB47E2">
        <w:t xml:space="preserve">as a processing aid. </w:t>
      </w:r>
      <w:r w:rsidRPr="00F145AC">
        <w:t xml:space="preserve">The stated purpose </w:t>
      </w:r>
      <w:r w:rsidRPr="00564672">
        <w:t>of this enzyme</w:t>
      </w:r>
      <w:r w:rsidRPr="00F145AC">
        <w:t xml:space="preserve">, namely </w:t>
      </w:r>
      <w:r>
        <w:t>the hydrolysis of lactose in cow’s milk to produce reduced-lactose or lactose-free milk and milk products</w:t>
      </w:r>
      <w:r w:rsidRPr="00F145AC">
        <w:t>, is clearly arti</w:t>
      </w:r>
      <w:r>
        <w:t>culated in the Application.</w:t>
      </w:r>
    </w:p>
    <w:p w14:paraId="5B0CB75E" w14:textId="77777777" w:rsidR="00030FD7" w:rsidRPr="00BB47E2" w:rsidRDefault="00030FD7" w:rsidP="008D614B"/>
    <w:p w14:paraId="11E3690B" w14:textId="642E4C21" w:rsidR="00030FD7" w:rsidRDefault="00030FD7" w:rsidP="008D614B">
      <w:r w:rsidRPr="00BB47E2">
        <w:t xml:space="preserve">The evidence presented to support the proposed uses provides adequate assurance that the enzyme, in the form and prescribed amounts, is technologically justified </w:t>
      </w:r>
      <w:r w:rsidR="00735022">
        <w:t>and is</w:t>
      </w:r>
      <w:r w:rsidRPr="00BB47E2">
        <w:t xml:space="preserve"> effective in achieving its stated purpose. The enzyme preparation meets international purity specifications for enzymes used in the production of food.</w:t>
      </w:r>
    </w:p>
    <w:p w14:paraId="5C418C68" w14:textId="77777777" w:rsidR="00030FD7" w:rsidRPr="00BB47E2" w:rsidRDefault="00030FD7" w:rsidP="008D614B"/>
    <w:p w14:paraId="59B46193" w14:textId="77777777" w:rsidR="00030FD7" w:rsidRPr="009265D9" w:rsidRDefault="00030FD7" w:rsidP="008D614B">
      <w:pPr>
        <w:rPr>
          <w:rFonts w:cs="Arial"/>
          <w:color w:val="000000" w:themeColor="text1"/>
        </w:rPr>
      </w:pPr>
      <w:r w:rsidRPr="009265D9">
        <w:rPr>
          <w:rFonts w:cs="Arial"/>
          <w:color w:val="000000" w:themeColor="text1"/>
        </w:rPr>
        <w:t xml:space="preserve">There are no public health and safety issues associated with the use of </w:t>
      </w:r>
      <w:r>
        <w:rPr>
          <w:rFonts w:cs="Arial"/>
          <w:color w:val="000000" w:themeColor="text1"/>
        </w:rPr>
        <w:t xml:space="preserve">the </w:t>
      </w:r>
      <w:r>
        <w:rPr>
          <w:rFonts w:cs="Arial"/>
        </w:rPr>
        <w:t>β</w:t>
      </w:r>
      <w:r>
        <w:t xml:space="preserve">-galactosidase </w:t>
      </w:r>
      <w:r>
        <w:rPr>
          <w:rFonts w:cs="Arial"/>
          <w:color w:val="000000" w:themeColor="text1"/>
        </w:rPr>
        <w:t>preparation</w:t>
      </w:r>
      <w:r w:rsidRPr="009265D9">
        <w:rPr>
          <w:rFonts w:cs="Arial"/>
          <w:color w:val="000000" w:themeColor="text1"/>
        </w:rPr>
        <w:t xml:space="preserve"> produced by </w:t>
      </w:r>
      <w:r>
        <w:rPr>
          <w:rFonts w:cs="Arial"/>
          <w:color w:val="000000" w:themeColor="text1"/>
        </w:rPr>
        <w:t>genetically modified</w:t>
      </w:r>
      <w:r w:rsidRPr="009265D9">
        <w:rPr>
          <w:rFonts w:cs="Arial"/>
          <w:color w:val="000000" w:themeColor="text1"/>
        </w:rPr>
        <w:t xml:space="preserve"> </w:t>
      </w:r>
      <w:r w:rsidRPr="00A1396C">
        <w:rPr>
          <w:rFonts w:cs="Arial"/>
          <w:i/>
          <w:color w:val="000000" w:themeColor="text1"/>
        </w:rPr>
        <w:t>B</w:t>
      </w:r>
      <w:r>
        <w:rPr>
          <w:rFonts w:cs="Arial"/>
          <w:i/>
          <w:color w:val="000000" w:themeColor="text1"/>
        </w:rPr>
        <w:t>.</w:t>
      </w:r>
      <w:r w:rsidRPr="00A1396C">
        <w:rPr>
          <w:rFonts w:cs="Arial"/>
          <w:i/>
          <w:color w:val="000000" w:themeColor="text1"/>
        </w:rPr>
        <w:t xml:space="preserve"> licheniformis</w:t>
      </w:r>
      <w:r w:rsidRPr="00A3505C">
        <w:t xml:space="preserve"> </w:t>
      </w:r>
      <w:r w:rsidRPr="00BB47E2">
        <w:t xml:space="preserve">(strain </w:t>
      </w:r>
      <w:r>
        <w:rPr>
          <w:rFonts w:cs="Arial"/>
          <w:color w:val="000000" w:themeColor="text1"/>
        </w:rPr>
        <w:t>PP3930</w:t>
      </w:r>
      <w:r w:rsidRPr="00BB47E2">
        <w:t>)</w:t>
      </w:r>
      <w:r w:rsidRPr="009265D9">
        <w:rPr>
          <w:rFonts w:cs="Arial"/>
          <w:color w:val="000000" w:themeColor="text1"/>
        </w:rPr>
        <w:t xml:space="preserve"> as a food processing aid on the basis of the following considerations:</w:t>
      </w:r>
    </w:p>
    <w:p w14:paraId="78101E8A" w14:textId="77777777" w:rsidR="00030FD7" w:rsidRPr="00150F02" w:rsidRDefault="00030FD7" w:rsidP="008D614B">
      <w:pPr>
        <w:rPr>
          <w:sz w:val="20"/>
        </w:rPr>
      </w:pPr>
    </w:p>
    <w:p w14:paraId="002BB91F" w14:textId="421C2775" w:rsidR="00030FD7" w:rsidRDefault="00DE4BBE" w:rsidP="00DC5F0E">
      <w:pPr>
        <w:pStyle w:val="FSBullet1"/>
      </w:pPr>
      <w:r>
        <w:lastRenderedPageBreak/>
        <w:t>T</w:t>
      </w:r>
      <w:r w:rsidR="00030FD7" w:rsidRPr="009265D9">
        <w:t xml:space="preserve">he production organism </w:t>
      </w:r>
      <w:r w:rsidR="00030FD7" w:rsidRPr="00A1396C">
        <w:rPr>
          <w:i/>
          <w:color w:val="000000" w:themeColor="text1"/>
        </w:rPr>
        <w:t>B</w:t>
      </w:r>
      <w:r w:rsidR="00030FD7">
        <w:rPr>
          <w:i/>
          <w:color w:val="000000" w:themeColor="text1"/>
        </w:rPr>
        <w:t>.</w:t>
      </w:r>
      <w:r w:rsidR="00030FD7" w:rsidRPr="00A1396C">
        <w:rPr>
          <w:i/>
          <w:color w:val="000000" w:themeColor="text1"/>
        </w:rPr>
        <w:t xml:space="preserve"> licheniformis</w:t>
      </w:r>
      <w:r w:rsidR="00030FD7" w:rsidRPr="009265D9">
        <w:t xml:space="preserve">, is </w:t>
      </w:r>
      <w:r w:rsidR="00030FD7">
        <w:t>neither</w:t>
      </w:r>
      <w:r w:rsidR="00030FD7" w:rsidRPr="009265D9">
        <w:t xml:space="preserve"> toxigenic, pathogenic or sporogenic and is </w:t>
      </w:r>
      <w:r w:rsidR="00564672">
        <w:t xml:space="preserve">not present </w:t>
      </w:r>
      <w:r w:rsidR="00030FD7" w:rsidRPr="009265D9">
        <w:t>in the final enzyme preparation proposed to be used as a food processing aid. Further</w:t>
      </w:r>
      <w:r w:rsidR="00030FD7">
        <w:t>more</w:t>
      </w:r>
      <w:r w:rsidR="00030FD7" w:rsidRPr="009265D9">
        <w:t xml:space="preserve">, </w:t>
      </w:r>
      <w:r w:rsidR="00030FD7" w:rsidRPr="00A1396C">
        <w:rPr>
          <w:i/>
          <w:color w:val="000000" w:themeColor="text1"/>
        </w:rPr>
        <w:t>B</w:t>
      </w:r>
      <w:r w:rsidR="00030FD7">
        <w:rPr>
          <w:i/>
          <w:color w:val="000000" w:themeColor="text1"/>
        </w:rPr>
        <w:t>.</w:t>
      </w:r>
      <w:r w:rsidR="00030FD7" w:rsidRPr="00A1396C">
        <w:rPr>
          <w:i/>
          <w:color w:val="000000" w:themeColor="text1"/>
        </w:rPr>
        <w:t xml:space="preserve"> licheniformis</w:t>
      </w:r>
      <w:r w:rsidR="00030FD7" w:rsidRPr="00A3505C">
        <w:t xml:space="preserve"> </w:t>
      </w:r>
      <w:r w:rsidR="00030FD7" w:rsidRPr="009265D9">
        <w:t>has a history of safe use as the production organism for a number of enzyme processing aids that are already permitted in the Code.</w:t>
      </w:r>
    </w:p>
    <w:p w14:paraId="400EBD5C" w14:textId="77777777" w:rsidR="00DE4BBE" w:rsidRPr="00150F02" w:rsidRDefault="00DE4BBE" w:rsidP="00DC5F0E">
      <w:pPr>
        <w:rPr>
          <w:sz w:val="20"/>
        </w:rPr>
      </w:pPr>
    </w:p>
    <w:p w14:paraId="72EB4ECA" w14:textId="773A66CC" w:rsidR="00030FD7" w:rsidRDefault="00DE4BBE" w:rsidP="00DC5F0E">
      <w:pPr>
        <w:pStyle w:val="FSBullet1"/>
        <w:rPr>
          <w:lang w:val="en-AU"/>
        </w:rPr>
      </w:pPr>
      <w:r>
        <w:rPr>
          <w:lang w:val="en-AU"/>
        </w:rPr>
        <w:t>R</w:t>
      </w:r>
      <w:r w:rsidR="00030FD7" w:rsidRPr="009265D9">
        <w:rPr>
          <w:lang w:val="en-AU"/>
        </w:rPr>
        <w:t xml:space="preserve">esidual enzyme is expected to be present in the </w:t>
      </w:r>
      <w:r w:rsidR="00030FD7">
        <w:rPr>
          <w:lang w:val="en-AU"/>
        </w:rPr>
        <w:t>final food but would be inactivated by heat-treatment</w:t>
      </w:r>
      <w:r w:rsidR="00030FD7" w:rsidRPr="009265D9">
        <w:rPr>
          <w:lang w:val="en-AU"/>
        </w:rPr>
        <w:t xml:space="preserve"> </w:t>
      </w:r>
      <w:r w:rsidR="00B15D13">
        <w:rPr>
          <w:lang w:val="en-AU"/>
        </w:rPr>
        <w:t xml:space="preserve">or non-active because of the lack of lactose, </w:t>
      </w:r>
      <w:r w:rsidR="00030FD7" w:rsidRPr="009265D9">
        <w:rPr>
          <w:lang w:val="en-AU"/>
        </w:rPr>
        <w:t>and susceptible to digestion like any other dietary protein.</w:t>
      </w:r>
    </w:p>
    <w:p w14:paraId="3A7F9569" w14:textId="77777777" w:rsidR="00DE4BBE" w:rsidRPr="00150F02" w:rsidRDefault="00DE4BBE" w:rsidP="00DC5F0E">
      <w:pPr>
        <w:rPr>
          <w:sz w:val="20"/>
          <w:lang w:val="en-AU"/>
        </w:rPr>
      </w:pPr>
    </w:p>
    <w:p w14:paraId="0AA94417" w14:textId="255BBA20" w:rsidR="00030FD7" w:rsidRDefault="00A60016" w:rsidP="00150F02">
      <w:pPr>
        <w:pStyle w:val="FSBullet1"/>
        <w:rPr>
          <w:lang w:val="en-AU"/>
        </w:rPr>
      </w:pPr>
      <w:r>
        <w:rPr>
          <w:lang w:val="en-AU"/>
        </w:rPr>
        <w:t>Bioinformatic</w:t>
      </w:r>
      <w:r w:rsidR="00030FD7">
        <w:rPr>
          <w:lang w:val="en-AU"/>
        </w:rPr>
        <w:t xml:space="preserve"> analyse</w:t>
      </w:r>
      <w:r w:rsidR="00030FD7" w:rsidRPr="009265D9">
        <w:rPr>
          <w:lang w:val="en-AU"/>
        </w:rPr>
        <w:t>s indicated that the enzyme has no biologically relevant homology to known protein allergens or toxins.</w:t>
      </w:r>
    </w:p>
    <w:p w14:paraId="70612C5C" w14:textId="77777777" w:rsidR="00DE4BBE" w:rsidRPr="00DE4BBE" w:rsidRDefault="00DE4BBE" w:rsidP="00DC5F0E">
      <w:pPr>
        <w:rPr>
          <w:lang w:val="en-AU"/>
        </w:rPr>
      </w:pPr>
    </w:p>
    <w:p w14:paraId="69EFD789" w14:textId="18E11296" w:rsidR="00030FD7" w:rsidRDefault="00DE4BBE" w:rsidP="00DC5F0E">
      <w:pPr>
        <w:pStyle w:val="FSBullet1"/>
        <w:rPr>
          <w:color w:val="000000" w:themeColor="text1"/>
          <w:lang w:val="en-AU"/>
        </w:rPr>
      </w:pPr>
      <w:r>
        <w:rPr>
          <w:lang w:val="en-AU"/>
        </w:rPr>
        <w:t>T</w:t>
      </w:r>
      <w:r w:rsidR="00030FD7" w:rsidRPr="009265D9">
        <w:rPr>
          <w:lang w:val="en-AU"/>
        </w:rPr>
        <w:t xml:space="preserve">he enzyme </w:t>
      </w:r>
      <w:r w:rsidR="00030FD7">
        <w:rPr>
          <w:lang w:val="en-AU"/>
        </w:rPr>
        <w:t xml:space="preserve">preparation </w:t>
      </w:r>
      <w:r w:rsidR="00030FD7" w:rsidRPr="009265D9">
        <w:rPr>
          <w:lang w:val="en-AU"/>
        </w:rPr>
        <w:t xml:space="preserve">caused no observable effects at the highest tested doses in a 90-day toxicity study in rats. The </w:t>
      </w:r>
      <w:r w:rsidR="00030FD7">
        <w:rPr>
          <w:lang w:val="en-AU"/>
        </w:rPr>
        <w:t xml:space="preserve">No Observable Adverse Effect Level </w:t>
      </w:r>
      <w:r w:rsidR="00030FD7" w:rsidRPr="009265D9">
        <w:rPr>
          <w:color w:val="000000" w:themeColor="text1"/>
          <w:lang w:val="en-AU"/>
        </w:rPr>
        <w:t xml:space="preserve">was </w:t>
      </w:r>
      <w:r w:rsidR="00030FD7">
        <w:rPr>
          <w:color w:val="000000" w:themeColor="text1"/>
        </w:rPr>
        <w:t>0.672</w:t>
      </w:r>
      <w:r w:rsidR="00030FD7" w:rsidRPr="009265D9">
        <w:rPr>
          <w:color w:val="000000" w:themeColor="text1"/>
        </w:rPr>
        <w:t xml:space="preserve"> g </w:t>
      </w:r>
      <w:r w:rsidR="007766F2">
        <w:rPr>
          <w:color w:val="000000" w:themeColor="text1"/>
        </w:rPr>
        <w:t>enzyme</w:t>
      </w:r>
      <w:r w:rsidR="00A038CA">
        <w:rPr>
          <w:color w:val="000000" w:themeColor="text1"/>
        </w:rPr>
        <w:t xml:space="preserve"> solid</w:t>
      </w:r>
      <w:r w:rsidR="00030FD7" w:rsidRPr="009265D9">
        <w:rPr>
          <w:color w:val="000000" w:themeColor="text1"/>
        </w:rPr>
        <w:t>/kg bw/d</w:t>
      </w:r>
      <w:r w:rsidR="00030FD7" w:rsidRPr="009265D9">
        <w:rPr>
          <w:color w:val="000000" w:themeColor="text1"/>
          <w:lang w:val="en-AU"/>
        </w:rPr>
        <w:t xml:space="preserve">, </w:t>
      </w:r>
      <w:r w:rsidR="00030FD7">
        <w:rPr>
          <w:color w:val="000000" w:themeColor="text1"/>
          <w:lang w:val="en-AU"/>
        </w:rPr>
        <w:t xml:space="preserve">which was </w:t>
      </w:r>
      <w:r w:rsidR="00030FD7" w:rsidRPr="009265D9">
        <w:rPr>
          <w:color w:val="000000" w:themeColor="text1"/>
          <w:lang w:val="en-AU"/>
        </w:rPr>
        <w:t>the highest dose tested.</w:t>
      </w:r>
    </w:p>
    <w:p w14:paraId="06877888" w14:textId="77777777" w:rsidR="00DE4BBE" w:rsidRPr="00DE4BBE" w:rsidRDefault="00DE4BBE" w:rsidP="00DC5F0E">
      <w:pPr>
        <w:rPr>
          <w:lang w:val="en-AU"/>
        </w:rPr>
      </w:pPr>
    </w:p>
    <w:p w14:paraId="312CA1B3" w14:textId="4CD0F465" w:rsidR="00030FD7" w:rsidRPr="009265D9" w:rsidRDefault="00DE4BBE" w:rsidP="00DC5F0E">
      <w:pPr>
        <w:pStyle w:val="FSBullet1"/>
        <w:rPr>
          <w:lang w:val="en-AU"/>
        </w:rPr>
      </w:pPr>
      <w:r>
        <w:rPr>
          <w:lang w:val="en-AU"/>
        </w:rPr>
        <w:t>T</w:t>
      </w:r>
      <w:r w:rsidR="00030FD7" w:rsidRPr="009265D9">
        <w:rPr>
          <w:lang w:val="en-AU"/>
        </w:rPr>
        <w:t xml:space="preserve">he enzyme preparation was not </w:t>
      </w:r>
      <w:r w:rsidR="00030FD7">
        <w:rPr>
          <w:lang w:val="en-AU"/>
        </w:rPr>
        <w:t>mutagenic</w:t>
      </w:r>
      <w:r w:rsidR="00030FD7" w:rsidRPr="009265D9">
        <w:rPr>
          <w:lang w:val="en-AU"/>
        </w:rPr>
        <w:t xml:space="preserve"> </w:t>
      </w:r>
      <w:r w:rsidR="00030FD7" w:rsidRPr="009265D9">
        <w:rPr>
          <w:i/>
          <w:lang w:val="en-AU"/>
        </w:rPr>
        <w:t>in vitro</w:t>
      </w:r>
      <w:r w:rsidR="00030FD7" w:rsidRPr="009265D9">
        <w:rPr>
          <w:lang w:val="en-AU"/>
        </w:rPr>
        <w:t>.</w:t>
      </w:r>
    </w:p>
    <w:p w14:paraId="18441E55" w14:textId="77777777" w:rsidR="00030FD7" w:rsidRPr="00A3505C" w:rsidRDefault="00030FD7" w:rsidP="008D614B"/>
    <w:p w14:paraId="7A6ACD19" w14:textId="50B1052C" w:rsidR="00092CDA" w:rsidRDefault="00030FD7" w:rsidP="008D614B">
      <w:pPr>
        <w:sectPr w:rsidR="00092CDA"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r w:rsidRPr="009265D9">
        <w:rPr>
          <w:rFonts w:cs="Arial"/>
          <w:color w:val="000000" w:themeColor="text1"/>
          <w:lang w:val="en-AU"/>
        </w:rPr>
        <w:t xml:space="preserve">Based on the reviewed toxicological data, </w:t>
      </w:r>
      <w:r w:rsidR="004D639A">
        <w:rPr>
          <w:rFonts w:cs="Arial"/>
          <w:color w:val="000000" w:themeColor="text1"/>
          <w:lang w:val="en-AU"/>
        </w:rPr>
        <w:t>FSANZ</w:t>
      </w:r>
      <w:r w:rsidRPr="009265D9">
        <w:rPr>
          <w:rFonts w:cs="Arial"/>
          <w:color w:val="000000" w:themeColor="text1"/>
          <w:lang w:val="en-AU"/>
        </w:rPr>
        <w:t xml:space="preserve"> conclude</w:t>
      </w:r>
      <w:r w:rsidR="004D639A">
        <w:rPr>
          <w:rFonts w:cs="Arial"/>
          <w:color w:val="000000" w:themeColor="text1"/>
          <w:lang w:val="en-AU"/>
        </w:rPr>
        <w:t>s</w:t>
      </w:r>
      <w:r w:rsidRPr="009265D9">
        <w:rPr>
          <w:rFonts w:cs="Arial"/>
          <w:color w:val="000000" w:themeColor="text1"/>
          <w:lang w:val="en-AU"/>
        </w:rPr>
        <w:t xml:space="preserve"> that in the absence of any identifiable hazard, an Acceptable Daily Intake (ADI) ‘not specified’ is appropriate</w:t>
      </w:r>
      <w:r>
        <w:rPr>
          <w:rFonts w:cs="Arial"/>
          <w:color w:val="000000" w:themeColor="text1"/>
          <w:lang w:val="en-AU"/>
        </w:rPr>
        <w:t xml:space="preserve"> for </w:t>
      </w:r>
      <w:r>
        <w:rPr>
          <w:rFonts w:cs="Arial"/>
        </w:rPr>
        <w:t>β</w:t>
      </w:r>
      <w:r>
        <w:t>-galactosidase</w:t>
      </w:r>
      <w:r>
        <w:rPr>
          <w:rFonts w:cs="Arial"/>
          <w:color w:val="000000" w:themeColor="text1"/>
          <w:lang w:val="en-AU"/>
        </w:rPr>
        <w:t xml:space="preserve"> from </w:t>
      </w:r>
      <w:r w:rsidRPr="00A1396C">
        <w:rPr>
          <w:rFonts w:cs="Arial"/>
          <w:i/>
          <w:color w:val="000000" w:themeColor="text1"/>
        </w:rPr>
        <w:t>B</w:t>
      </w:r>
      <w:r>
        <w:rPr>
          <w:rFonts w:cs="Arial"/>
          <w:i/>
          <w:color w:val="000000" w:themeColor="text1"/>
        </w:rPr>
        <w:t>.</w:t>
      </w:r>
      <w:r w:rsidRPr="00A1396C">
        <w:rPr>
          <w:rFonts w:cs="Arial"/>
          <w:i/>
          <w:color w:val="000000" w:themeColor="text1"/>
        </w:rPr>
        <w:t xml:space="preserve"> licheniformis</w:t>
      </w:r>
      <w:r w:rsidRPr="009265D9">
        <w:rPr>
          <w:rFonts w:cs="Arial"/>
          <w:i/>
          <w:color w:val="000000" w:themeColor="text1"/>
          <w:lang w:val="en-AU"/>
        </w:rPr>
        <w:t>.</w:t>
      </w:r>
      <w:r w:rsidRPr="009265D9">
        <w:rPr>
          <w:rFonts w:cs="Arial"/>
          <w:color w:val="000000" w:themeColor="text1"/>
          <w:lang w:val="en-AU"/>
        </w:rPr>
        <w:t xml:space="preserve"> A dietary exposure assessment is therefore not required.</w:t>
      </w:r>
    </w:p>
    <w:p w14:paraId="6E4B43F8"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6194EFB" w14:textId="77777777" w:rsidR="00AB7EBA" w:rsidRPr="00150F02" w:rsidRDefault="00326D85">
      <w:pPr>
        <w:pStyle w:val="TOC1"/>
        <w:tabs>
          <w:tab w:val="right" w:leader="dot" w:pos="9060"/>
        </w:tabs>
        <w:rPr>
          <w:rFonts w:ascii="Arial" w:eastAsiaTheme="minorEastAsia" w:hAnsi="Arial" w:cs="Arial"/>
          <w:b w:val="0"/>
          <w:bCs w:val="0"/>
          <w:caps w:val="0"/>
          <w:noProof/>
          <w:lang w:val="en-NZ" w:eastAsia="en-NZ" w:bidi="ar-SA"/>
        </w:rPr>
      </w:pPr>
      <w:r w:rsidRPr="00150F02">
        <w:rPr>
          <w:rFonts w:ascii="Arial" w:hAnsi="Arial" w:cs="Arial"/>
        </w:rPr>
        <w:fldChar w:fldCharType="begin"/>
      </w:r>
      <w:r w:rsidRPr="00150F02">
        <w:rPr>
          <w:rFonts w:ascii="Arial" w:hAnsi="Arial" w:cs="Arial"/>
        </w:rPr>
        <w:instrText xml:space="preserve"> TOC \o "1-3" \h \z \u </w:instrText>
      </w:r>
      <w:r w:rsidRPr="00150F02">
        <w:rPr>
          <w:rFonts w:ascii="Arial" w:hAnsi="Arial" w:cs="Arial"/>
        </w:rPr>
        <w:fldChar w:fldCharType="separate"/>
      </w:r>
      <w:hyperlink w:anchor="_Toc473540342" w:history="1">
        <w:r w:rsidR="00AB7EBA" w:rsidRPr="00150F02">
          <w:rPr>
            <w:rStyle w:val="Hyperlink"/>
            <w:rFonts w:cs="Arial"/>
            <w:noProof/>
          </w:rPr>
          <w:t>Executive summary</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_Toc473540342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i</w:t>
        </w:r>
        <w:r w:rsidR="00AB7EBA" w:rsidRPr="00150F02">
          <w:rPr>
            <w:rFonts w:ascii="Arial" w:hAnsi="Arial" w:cs="Arial"/>
            <w:noProof/>
            <w:webHidden/>
          </w:rPr>
          <w:fldChar w:fldCharType="end"/>
        </w:r>
      </w:hyperlink>
    </w:p>
    <w:p w14:paraId="73F7E66C" w14:textId="77777777" w:rsidR="00AB7EBA" w:rsidRPr="00150F02" w:rsidRDefault="000340F8">
      <w:pPr>
        <w:pStyle w:val="TOC1"/>
        <w:tabs>
          <w:tab w:val="left" w:pos="440"/>
          <w:tab w:val="right" w:leader="dot" w:pos="9060"/>
        </w:tabs>
        <w:rPr>
          <w:rFonts w:ascii="Arial" w:eastAsiaTheme="minorEastAsia" w:hAnsi="Arial" w:cs="Arial"/>
          <w:b w:val="0"/>
          <w:bCs w:val="0"/>
          <w:caps w:val="0"/>
          <w:noProof/>
          <w:lang w:val="en-NZ" w:eastAsia="en-NZ" w:bidi="ar-SA"/>
        </w:rPr>
      </w:pPr>
      <w:hyperlink w:anchor="_Toc473540343" w:history="1">
        <w:r w:rsidR="00AB7EBA" w:rsidRPr="00150F02">
          <w:rPr>
            <w:rStyle w:val="Hyperlink"/>
            <w:rFonts w:cs="Arial"/>
            <w:noProof/>
          </w:rPr>
          <w:t>1</w:t>
        </w:r>
        <w:r w:rsidR="00AB7EBA" w:rsidRPr="00150F02">
          <w:rPr>
            <w:rFonts w:ascii="Arial" w:eastAsiaTheme="minorEastAsia" w:hAnsi="Arial" w:cs="Arial"/>
            <w:b w:val="0"/>
            <w:bCs w:val="0"/>
            <w:caps w:val="0"/>
            <w:noProof/>
            <w:lang w:val="en-NZ" w:eastAsia="en-NZ" w:bidi="ar-SA"/>
          </w:rPr>
          <w:tab/>
        </w:r>
        <w:r w:rsidR="00AB7EBA" w:rsidRPr="00150F02">
          <w:rPr>
            <w:rStyle w:val="Hyperlink"/>
            <w:rFonts w:cs="Arial"/>
            <w:noProof/>
          </w:rPr>
          <w:t>Introduction</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_Toc473540343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2</w:t>
        </w:r>
        <w:r w:rsidR="00AB7EBA" w:rsidRPr="00150F02">
          <w:rPr>
            <w:rFonts w:ascii="Arial" w:hAnsi="Arial" w:cs="Arial"/>
            <w:noProof/>
            <w:webHidden/>
          </w:rPr>
          <w:fldChar w:fldCharType="end"/>
        </w:r>
      </w:hyperlink>
    </w:p>
    <w:p w14:paraId="084FA504"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44" w:history="1">
        <w:r w:rsidR="00AB7EBA" w:rsidRPr="00150F02">
          <w:rPr>
            <w:rStyle w:val="Hyperlink"/>
            <w:rFonts w:cs="Arial"/>
            <w:noProof/>
          </w:rPr>
          <w:t>1.1</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rPr>
          <w:t>Objectives of the risk and technical assessment</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_Toc473540344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2</w:t>
        </w:r>
        <w:r w:rsidR="00AB7EBA" w:rsidRPr="00150F02">
          <w:rPr>
            <w:rFonts w:ascii="Arial" w:hAnsi="Arial" w:cs="Arial"/>
            <w:noProof/>
            <w:webHidden/>
          </w:rPr>
          <w:fldChar w:fldCharType="end"/>
        </w:r>
      </w:hyperlink>
    </w:p>
    <w:p w14:paraId="727A2D97" w14:textId="77777777" w:rsidR="00AB7EBA" w:rsidRPr="00150F02" w:rsidRDefault="000340F8">
      <w:pPr>
        <w:pStyle w:val="TOC1"/>
        <w:tabs>
          <w:tab w:val="left" w:pos="440"/>
          <w:tab w:val="right" w:leader="dot" w:pos="9060"/>
        </w:tabs>
        <w:rPr>
          <w:rFonts w:ascii="Arial" w:eastAsiaTheme="minorEastAsia" w:hAnsi="Arial" w:cs="Arial"/>
          <w:b w:val="0"/>
          <w:bCs w:val="0"/>
          <w:caps w:val="0"/>
          <w:noProof/>
          <w:lang w:val="en-NZ" w:eastAsia="en-NZ" w:bidi="ar-SA"/>
        </w:rPr>
      </w:pPr>
      <w:hyperlink w:anchor="_Toc473540345" w:history="1">
        <w:r w:rsidR="00AB7EBA" w:rsidRPr="00150F02">
          <w:rPr>
            <w:rStyle w:val="Hyperlink"/>
            <w:rFonts w:cs="Arial"/>
            <w:noProof/>
          </w:rPr>
          <w:t>2</w:t>
        </w:r>
        <w:r w:rsidR="00AB7EBA" w:rsidRPr="00150F02">
          <w:rPr>
            <w:rFonts w:ascii="Arial" w:eastAsiaTheme="minorEastAsia" w:hAnsi="Arial" w:cs="Arial"/>
            <w:b w:val="0"/>
            <w:bCs w:val="0"/>
            <w:caps w:val="0"/>
            <w:noProof/>
            <w:lang w:val="en-NZ" w:eastAsia="en-NZ" w:bidi="ar-SA"/>
          </w:rPr>
          <w:tab/>
        </w:r>
        <w:r w:rsidR="00AB7EBA" w:rsidRPr="00150F02">
          <w:rPr>
            <w:rStyle w:val="Hyperlink"/>
            <w:rFonts w:cs="Arial"/>
            <w:noProof/>
          </w:rPr>
          <w:t>Food technology assessment</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_Toc473540345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2</w:t>
        </w:r>
        <w:r w:rsidR="00AB7EBA" w:rsidRPr="00150F02">
          <w:rPr>
            <w:rFonts w:ascii="Arial" w:hAnsi="Arial" w:cs="Arial"/>
            <w:noProof/>
            <w:webHidden/>
          </w:rPr>
          <w:fldChar w:fldCharType="end"/>
        </w:r>
      </w:hyperlink>
    </w:p>
    <w:p w14:paraId="54340153"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46" w:history="1">
        <w:r w:rsidR="00AB7EBA" w:rsidRPr="00150F02">
          <w:rPr>
            <w:rStyle w:val="Hyperlink"/>
            <w:rFonts w:cs="Arial"/>
            <w:noProof/>
          </w:rPr>
          <w:t>2.1</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rPr>
          <w:t>Characterisation of β-galactosidase (lactase)</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_Toc473540346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2</w:t>
        </w:r>
        <w:r w:rsidR="00AB7EBA" w:rsidRPr="00150F02">
          <w:rPr>
            <w:rFonts w:ascii="Arial" w:hAnsi="Arial" w:cs="Arial"/>
            <w:noProof/>
            <w:webHidden/>
          </w:rPr>
          <w:fldChar w:fldCharType="end"/>
        </w:r>
      </w:hyperlink>
    </w:p>
    <w:p w14:paraId="6A23B693" w14:textId="77777777" w:rsidR="00AB7EBA" w:rsidRPr="00150F02" w:rsidRDefault="000340F8">
      <w:pPr>
        <w:pStyle w:val="TOC3"/>
        <w:rPr>
          <w:rFonts w:ascii="Arial" w:eastAsiaTheme="minorEastAsia" w:hAnsi="Arial" w:cs="Arial"/>
          <w:i w:val="0"/>
          <w:iCs w:val="0"/>
          <w:noProof/>
          <w:lang w:val="en-NZ" w:eastAsia="en-NZ" w:bidi="ar-SA"/>
        </w:rPr>
      </w:pPr>
      <w:hyperlink w:anchor="_Toc473540347" w:history="1">
        <w:r w:rsidR="00AB7EBA" w:rsidRPr="00150F02">
          <w:rPr>
            <w:rStyle w:val="Hyperlink"/>
            <w:rFonts w:cs="Arial"/>
            <w:noProof/>
          </w:rPr>
          <w:t>2.1.1</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Identity of the enzyme</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_Toc473540347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2</w:t>
        </w:r>
        <w:r w:rsidR="00AB7EBA" w:rsidRPr="00150F02">
          <w:rPr>
            <w:rFonts w:ascii="Arial" w:hAnsi="Arial" w:cs="Arial"/>
            <w:noProof/>
            <w:webHidden/>
          </w:rPr>
          <w:fldChar w:fldCharType="end"/>
        </w:r>
      </w:hyperlink>
    </w:p>
    <w:p w14:paraId="7720150B" w14:textId="77777777" w:rsidR="00AB7EBA" w:rsidRPr="00150F02" w:rsidRDefault="000340F8">
      <w:pPr>
        <w:pStyle w:val="TOC3"/>
        <w:rPr>
          <w:rFonts w:ascii="Arial" w:eastAsiaTheme="minorEastAsia" w:hAnsi="Arial" w:cs="Arial"/>
          <w:i w:val="0"/>
          <w:iCs w:val="0"/>
          <w:noProof/>
          <w:lang w:val="en-NZ" w:eastAsia="en-NZ" w:bidi="ar-SA"/>
        </w:rPr>
      </w:pPr>
      <w:hyperlink w:anchor="_Toc473540348" w:history="1">
        <w:r w:rsidR="00AB7EBA" w:rsidRPr="00150F02">
          <w:rPr>
            <w:rStyle w:val="Hyperlink"/>
            <w:rFonts w:cs="Arial"/>
            <w:noProof/>
          </w:rPr>
          <w:t>2.1.2</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Enzymatic properties</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_Toc473540348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3</w:t>
        </w:r>
        <w:r w:rsidR="00AB7EBA" w:rsidRPr="00150F02">
          <w:rPr>
            <w:rFonts w:ascii="Arial" w:hAnsi="Arial" w:cs="Arial"/>
            <w:noProof/>
            <w:webHidden/>
          </w:rPr>
          <w:fldChar w:fldCharType="end"/>
        </w:r>
      </w:hyperlink>
    </w:p>
    <w:p w14:paraId="24D43990" w14:textId="77777777" w:rsidR="00AB7EBA" w:rsidRPr="00150F02" w:rsidRDefault="000340F8">
      <w:pPr>
        <w:pStyle w:val="TOC3"/>
        <w:rPr>
          <w:rFonts w:ascii="Arial" w:eastAsiaTheme="minorEastAsia" w:hAnsi="Arial" w:cs="Arial"/>
          <w:i w:val="0"/>
          <w:iCs w:val="0"/>
          <w:noProof/>
          <w:lang w:val="en-NZ" w:eastAsia="en-NZ" w:bidi="ar-SA"/>
        </w:rPr>
      </w:pPr>
      <w:hyperlink w:anchor="_Toc473540349" w:history="1">
        <w:r w:rsidR="00AB7EBA" w:rsidRPr="00150F02">
          <w:rPr>
            <w:rStyle w:val="Hyperlink"/>
            <w:rFonts w:cs="Arial"/>
            <w:noProof/>
          </w:rPr>
          <w:t>2.1.3</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Physical properties</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_Toc473540349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3</w:t>
        </w:r>
        <w:r w:rsidR="00AB7EBA" w:rsidRPr="00150F02">
          <w:rPr>
            <w:rFonts w:ascii="Arial" w:hAnsi="Arial" w:cs="Arial"/>
            <w:noProof/>
            <w:webHidden/>
          </w:rPr>
          <w:fldChar w:fldCharType="end"/>
        </w:r>
      </w:hyperlink>
    </w:p>
    <w:p w14:paraId="7CB118CF"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50" w:history="1">
        <w:r w:rsidR="00AB7EBA" w:rsidRPr="00150F02">
          <w:rPr>
            <w:rStyle w:val="Hyperlink"/>
            <w:rFonts w:cs="Arial"/>
            <w:noProof/>
            <w:lang w:eastAsia="en-AU"/>
          </w:rPr>
          <w:t>2.2</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lang w:eastAsia="en-AU"/>
          </w:rPr>
          <w:t>Production of the enzyme</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_Toc473540350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3</w:t>
        </w:r>
        <w:r w:rsidR="00AB7EBA" w:rsidRPr="00150F02">
          <w:rPr>
            <w:rFonts w:ascii="Arial" w:hAnsi="Arial" w:cs="Arial"/>
            <w:noProof/>
            <w:webHidden/>
          </w:rPr>
          <w:fldChar w:fldCharType="end"/>
        </w:r>
      </w:hyperlink>
    </w:p>
    <w:p w14:paraId="3111B2B0" w14:textId="77777777" w:rsidR="00AB7EBA" w:rsidRPr="00150F02" w:rsidRDefault="000340F8">
      <w:pPr>
        <w:pStyle w:val="TOC3"/>
        <w:rPr>
          <w:rFonts w:ascii="Arial" w:eastAsiaTheme="minorEastAsia" w:hAnsi="Arial" w:cs="Arial"/>
          <w:i w:val="0"/>
          <w:iCs w:val="0"/>
          <w:noProof/>
          <w:lang w:val="en-NZ" w:eastAsia="en-NZ" w:bidi="ar-SA"/>
        </w:rPr>
      </w:pPr>
      <w:hyperlink w:anchor="_Toc473540351" w:history="1">
        <w:r w:rsidR="00AB7EBA" w:rsidRPr="00150F02">
          <w:rPr>
            <w:rStyle w:val="Hyperlink"/>
            <w:rFonts w:cs="Arial"/>
            <w:noProof/>
          </w:rPr>
          <w:t>2.2.1. Potential presence of allergens</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_Toc473540351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3</w:t>
        </w:r>
        <w:r w:rsidR="00AB7EBA" w:rsidRPr="00150F02">
          <w:rPr>
            <w:rFonts w:ascii="Arial" w:hAnsi="Arial" w:cs="Arial"/>
            <w:noProof/>
            <w:webHidden/>
          </w:rPr>
          <w:fldChar w:fldCharType="end"/>
        </w:r>
      </w:hyperlink>
    </w:p>
    <w:p w14:paraId="0F00DC96"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52" w:history="1">
        <w:r w:rsidR="00AB7EBA" w:rsidRPr="00150F02">
          <w:rPr>
            <w:rStyle w:val="Hyperlink"/>
            <w:rFonts w:cs="Arial"/>
            <w:noProof/>
            <w:lang w:eastAsia="en-AU"/>
          </w:rPr>
          <w:t>2.3</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lang w:eastAsia="en-AU"/>
          </w:rPr>
          <w:t>Specifications</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_Toc473540352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3</w:t>
        </w:r>
        <w:r w:rsidR="00AB7EBA" w:rsidRPr="00150F02">
          <w:rPr>
            <w:rFonts w:ascii="Arial" w:hAnsi="Arial" w:cs="Arial"/>
            <w:noProof/>
            <w:webHidden/>
          </w:rPr>
          <w:fldChar w:fldCharType="end"/>
        </w:r>
      </w:hyperlink>
    </w:p>
    <w:p w14:paraId="2F1B2762"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53" w:history="1">
        <w:r w:rsidR="00AB7EBA" w:rsidRPr="00150F02">
          <w:rPr>
            <w:rStyle w:val="Hyperlink"/>
            <w:rFonts w:cs="Arial"/>
            <w:noProof/>
            <w:lang w:eastAsia="en-AU"/>
          </w:rPr>
          <w:t>2.4</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lang w:eastAsia="en-AU"/>
          </w:rPr>
          <w:t>Technological function</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_Toc473540353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4</w:t>
        </w:r>
        <w:r w:rsidR="00AB7EBA" w:rsidRPr="00150F02">
          <w:rPr>
            <w:rFonts w:ascii="Arial" w:hAnsi="Arial" w:cs="Arial"/>
            <w:noProof/>
            <w:webHidden/>
          </w:rPr>
          <w:fldChar w:fldCharType="end"/>
        </w:r>
      </w:hyperlink>
    </w:p>
    <w:p w14:paraId="3FC2999E"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54" w:history="1">
        <w:r w:rsidR="00AB7EBA" w:rsidRPr="00150F02">
          <w:rPr>
            <w:rStyle w:val="Hyperlink"/>
            <w:rFonts w:cs="Arial"/>
            <w:noProof/>
            <w:lang w:eastAsia="en-AU"/>
          </w:rPr>
          <w:t>2.5</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lang w:eastAsia="en-AU"/>
          </w:rPr>
          <w:t>Food technology conclusion</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_Toc473540354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4</w:t>
        </w:r>
        <w:r w:rsidR="00AB7EBA" w:rsidRPr="00150F02">
          <w:rPr>
            <w:rFonts w:ascii="Arial" w:hAnsi="Arial" w:cs="Arial"/>
            <w:noProof/>
            <w:webHidden/>
          </w:rPr>
          <w:fldChar w:fldCharType="end"/>
        </w:r>
      </w:hyperlink>
    </w:p>
    <w:p w14:paraId="278C1306" w14:textId="77777777" w:rsidR="00AB7EBA" w:rsidRPr="00150F02" w:rsidRDefault="000340F8">
      <w:pPr>
        <w:pStyle w:val="TOC1"/>
        <w:tabs>
          <w:tab w:val="left" w:pos="440"/>
          <w:tab w:val="right" w:leader="dot" w:pos="9060"/>
        </w:tabs>
        <w:rPr>
          <w:rFonts w:ascii="Arial" w:eastAsiaTheme="minorEastAsia" w:hAnsi="Arial" w:cs="Arial"/>
          <w:b w:val="0"/>
          <w:bCs w:val="0"/>
          <w:caps w:val="0"/>
          <w:noProof/>
          <w:lang w:val="en-NZ" w:eastAsia="en-NZ" w:bidi="ar-SA"/>
        </w:rPr>
      </w:pPr>
      <w:hyperlink w:anchor="_Toc473540355" w:history="1">
        <w:r w:rsidR="00AB7EBA" w:rsidRPr="00150F02">
          <w:rPr>
            <w:rStyle w:val="Hyperlink"/>
            <w:rFonts w:cs="Arial"/>
            <w:noProof/>
          </w:rPr>
          <w:t>3</w:t>
        </w:r>
        <w:r w:rsidR="00AB7EBA" w:rsidRPr="00150F02">
          <w:rPr>
            <w:rFonts w:ascii="Arial" w:eastAsiaTheme="minorEastAsia" w:hAnsi="Arial" w:cs="Arial"/>
            <w:b w:val="0"/>
            <w:bCs w:val="0"/>
            <w:caps w:val="0"/>
            <w:noProof/>
            <w:lang w:val="en-NZ" w:eastAsia="en-NZ" w:bidi="ar-SA"/>
          </w:rPr>
          <w:tab/>
        </w:r>
        <w:r w:rsidR="00AB7EBA" w:rsidRPr="00150F02">
          <w:rPr>
            <w:rStyle w:val="Hyperlink"/>
            <w:rFonts w:cs="Arial"/>
            <w:noProof/>
          </w:rPr>
          <w:t>Hazard assessment</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_Toc473540355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5</w:t>
        </w:r>
        <w:r w:rsidR="00AB7EBA" w:rsidRPr="00150F02">
          <w:rPr>
            <w:rFonts w:ascii="Arial" w:hAnsi="Arial" w:cs="Arial"/>
            <w:noProof/>
            <w:webHidden/>
          </w:rPr>
          <w:fldChar w:fldCharType="end"/>
        </w:r>
      </w:hyperlink>
    </w:p>
    <w:p w14:paraId="43C291BD"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56" w:history="1">
        <w:r w:rsidR="00AB7EBA" w:rsidRPr="00150F02">
          <w:rPr>
            <w:rStyle w:val="Hyperlink"/>
            <w:rFonts w:cs="Arial"/>
            <w:noProof/>
          </w:rPr>
          <w:t>3.1</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rPr>
          <w:t>Background</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_Toc473540356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5</w:t>
        </w:r>
        <w:r w:rsidR="00AB7EBA" w:rsidRPr="00150F02">
          <w:rPr>
            <w:rFonts w:ascii="Arial" w:hAnsi="Arial" w:cs="Arial"/>
            <w:noProof/>
            <w:webHidden/>
          </w:rPr>
          <w:fldChar w:fldCharType="end"/>
        </w:r>
      </w:hyperlink>
    </w:p>
    <w:p w14:paraId="1A5DE138" w14:textId="77777777" w:rsidR="00AB7EBA" w:rsidRPr="00150F02" w:rsidRDefault="000340F8">
      <w:pPr>
        <w:pStyle w:val="TOC3"/>
        <w:rPr>
          <w:rFonts w:ascii="Arial" w:eastAsiaTheme="minorEastAsia" w:hAnsi="Arial" w:cs="Arial"/>
          <w:i w:val="0"/>
          <w:iCs w:val="0"/>
          <w:noProof/>
          <w:lang w:val="en-NZ" w:eastAsia="en-NZ" w:bidi="ar-SA"/>
        </w:rPr>
      </w:pPr>
      <w:hyperlink w:anchor="_Toc473540357" w:history="1">
        <w:r w:rsidR="00AB7EBA" w:rsidRPr="00150F02">
          <w:rPr>
            <w:rStyle w:val="Hyperlink"/>
            <w:rFonts w:cs="Arial"/>
            <w:noProof/>
          </w:rPr>
          <w:t xml:space="preserve">3.1.1 </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Chemistry</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_Toc473540357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5</w:t>
        </w:r>
        <w:r w:rsidR="00AB7EBA" w:rsidRPr="00150F02">
          <w:rPr>
            <w:rFonts w:ascii="Arial" w:hAnsi="Arial" w:cs="Arial"/>
            <w:noProof/>
            <w:webHidden/>
          </w:rPr>
          <w:fldChar w:fldCharType="end"/>
        </w:r>
      </w:hyperlink>
    </w:p>
    <w:p w14:paraId="1E95E7DB" w14:textId="77777777" w:rsidR="00AB7EBA" w:rsidRPr="00150F02" w:rsidRDefault="000340F8">
      <w:pPr>
        <w:pStyle w:val="TOC3"/>
        <w:rPr>
          <w:rFonts w:ascii="Arial" w:eastAsiaTheme="minorEastAsia" w:hAnsi="Arial" w:cs="Arial"/>
          <w:i w:val="0"/>
          <w:iCs w:val="0"/>
          <w:noProof/>
          <w:lang w:val="en-NZ" w:eastAsia="en-NZ" w:bidi="ar-SA"/>
        </w:rPr>
      </w:pPr>
      <w:hyperlink w:anchor="_Toc473540358" w:history="1">
        <w:r w:rsidR="00AB7EBA" w:rsidRPr="00150F02">
          <w:rPr>
            <w:rStyle w:val="Hyperlink"/>
            <w:rFonts w:cs="Arial"/>
            <w:noProof/>
          </w:rPr>
          <w:t xml:space="preserve">3.1.2 </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Description of the genetic modification processes</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_Toc473540358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5</w:t>
        </w:r>
        <w:r w:rsidR="00AB7EBA" w:rsidRPr="00150F02">
          <w:rPr>
            <w:rFonts w:ascii="Arial" w:hAnsi="Arial" w:cs="Arial"/>
            <w:noProof/>
            <w:webHidden/>
          </w:rPr>
          <w:fldChar w:fldCharType="end"/>
        </w:r>
      </w:hyperlink>
    </w:p>
    <w:p w14:paraId="77EC6D1C" w14:textId="77777777" w:rsidR="00AB7EBA" w:rsidRPr="00150F02" w:rsidRDefault="000340F8">
      <w:pPr>
        <w:pStyle w:val="TOC3"/>
        <w:rPr>
          <w:rFonts w:ascii="Arial" w:eastAsiaTheme="minorEastAsia" w:hAnsi="Arial" w:cs="Arial"/>
          <w:i w:val="0"/>
          <w:iCs w:val="0"/>
          <w:noProof/>
          <w:lang w:val="en-NZ" w:eastAsia="en-NZ" w:bidi="ar-SA"/>
        </w:rPr>
      </w:pPr>
      <w:hyperlink w:anchor="_Toc473540359" w:history="1">
        <w:r w:rsidR="00AB7EBA" w:rsidRPr="00150F02">
          <w:rPr>
            <w:rStyle w:val="Hyperlink"/>
            <w:rFonts w:cs="Arial"/>
            <w:noProof/>
          </w:rPr>
          <w:t xml:space="preserve">3.1.3 </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Scope of the hazard assessment</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_Toc473540359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5</w:t>
        </w:r>
        <w:r w:rsidR="00AB7EBA" w:rsidRPr="00150F02">
          <w:rPr>
            <w:rFonts w:ascii="Arial" w:hAnsi="Arial" w:cs="Arial"/>
            <w:noProof/>
            <w:webHidden/>
          </w:rPr>
          <w:fldChar w:fldCharType="end"/>
        </w:r>
      </w:hyperlink>
    </w:p>
    <w:p w14:paraId="4422BFFC"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60" w:history="1">
        <w:r w:rsidR="00AB7EBA" w:rsidRPr="00150F02">
          <w:rPr>
            <w:rStyle w:val="Hyperlink"/>
            <w:rFonts w:cs="Arial"/>
            <w:noProof/>
          </w:rPr>
          <w:t>3.2</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rPr>
          <w:t xml:space="preserve">Hazard of the production organism – </w:t>
        </w:r>
        <w:r w:rsidR="00AB7EBA" w:rsidRPr="00150F02">
          <w:rPr>
            <w:rStyle w:val="Hyperlink"/>
            <w:rFonts w:cs="Arial"/>
            <w:i/>
            <w:noProof/>
          </w:rPr>
          <w:t>B. licheniformis PP3930</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_Toc473540360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6</w:t>
        </w:r>
        <w:r w:rsidR="00AB7EBA" w:rsidRPr="00150F02">
          <w:rPr>
            <w:rFonts w:ascii="Arial" w:hAnsi="Arial" w:cs="Arial"/>
            <w:noProof/>
            <w:webHidden/>
          </w:rPr>
          <w:fldChar w:fldCharType="end"/>
        </w:r>
      </w:hyperlink>
    </w:p>
    <w:p w14:paraId="042C0749"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61" w:history="1">
        <w:r w:rsidR="00AB7EBA" w:rsidRPr="00150F02">
          <w:rPr>
            <w:rStyle w:val="Hyperlink"/>
            <w:rFonts w:cs="Arial"/>
            <w:noProof/>
          </w:rPr>
          <w:t>3.3</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rPr>
          <w:t>Hazard of the encoded protein – β-galactosidase (E.C. 3.2.1.23)</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_Toc473540361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6</w:t>
        </w:r>
        <w:r w:rsidR="00AB7EBA" w:rsidRPr="00150F02">
          <w:rPr>
            <w:rFonts w:ascii="Arial" w:hAnsi="Arial" w:cs="Arial"/>
            <w:noProof/>
            <w:webHidden/>
          </w:rPr>
          <w:fldChar w:fldCharType="end"/>
        </w:r>
      </w:hyperlink>
    </w:p>
    <w:p w14:paraId="28201BBE" w14:textId="77777777" w:rsidR="00AB7EBA" w:rsidRPr="00150F02" w:rsidRDefault="000340F8">
      <w:pPr>
        <w:pStyle w:val="TOC3"/>
        <w:rPr>
          <w:rFonts w:ascii="Arial" w:eastAsiaTheme="minorEastAsia" w:hAnsi="Arial" w:cs="Arial"/>
          <w:i w:val="0"/>
          <w:iCs w:val="0"/>
          <w:noProof/>
          <w:lang w:val="en-NZ" w:eastAsia="en-NZ" w:bidi="ar-SA"/>
        </w:rPr>
      </w:pPr>
      <w:hyperlink w:anchor="_Toc473540362" w:history="1">
        <w:r w:rsidR="00AB7EBA" w:rsidRPr="00150F02">
          <w:rPr>
            <w:rStyle w:val="Hyperlink"/>
            <w:rFonts w:cs="Arial"/>
            <w:noProof/>
          </w:rPr>
          <w:t>3.3.1</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History of use</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_Toc473540362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6</w:t>
        </w:r>
        <w:r w:rsidR="00AB7EBA" w:rsidRPr="00150F02">
          <w:rPr>
            <w:rFonts w:ascii="Arial" w:hAnsi="Arial" w:cs="Arial"/>
            <w:noProof/>
            <w:webHidden/>
          </w:rPr>
          <w:fldChar w:fldCharType="end"/>
        </w:r>
      </w:hyperlink>
    </w:p>
    <w:p w14:paraId="72D4FF8B" w14:textId="77777777" w:rsidR="00AB7EBA" w:rsidRPr="00150F02" w:rsidRDefault="000340F8">
      <w:pPr>
        <w:pStyle w:val="TOC3"/>
        <w:rPr>
          <w:rFonts w:ascii="Arial" w:eastAsiaTheme="minorEastAsia" w:hAnsi="Arial" w:cs="Arial"/>
          <w:i w:val="0"/>
          <w:iCs w:val="0"/>
          <w:noProof/>
          <w:lang w:val="en-NZ" w:eastAsia="en-NZ" w:bidi="ar-SA"/>
        </w:rPr>
      </w:pPr>
      <w:hyperlink w:anchor="_Toc473540363" w:history="1">
        <w:r w:rsidR="00AB7EBA" w:rsidRPr="00150F02">
          <w:rPr>
            <w:rStyle w:val="Hyperlink"/>
            <w:rFonts w:cs="Arial"/>
            <w:noProof/>
          </w:rPr>
          <w:t>3.3.2</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Bioinformatic analysis for potential allergenicity</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_Toc473540363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7</w:t>
        </w:r>
        <w:r w:rsidR="00AB7EBA" w:rsidRPr="00150F02">
          <w:rPr>
            <w:rFonts w:ascii="Arial" w:hAnsi="Arial" w:cs="Arial"/>
            <w:noProof/>
            <w:webHidden/>
          </w:rPr>
          <w:fldChar w:fldCharType="end"/>
        </w:r>
      </w:hyperlink>
    </w:p>
    <w:p w14:paraId="705C6830" w14:textId="77777777" w:rsidR="00AB7EBA" w:rsidRPr="00150F02" w:rsidRDefault="000340F8">
      <w:pPr>
        <w:pStyle w:val="TOC3"/>
        <w:rPr>
          <w:rFonts w:ascii="Arial" w:eastAsiaTheme="minorEastAsia" w:hAnsi="Arial" w:cs="Arial"/>
          <w:i w:val="0"/>
          <w:iCs w:val="0"/>
          <w:noProof/>
          <w:lang w:val="en-NZ" w:eastAsia="en-NZ" w:bidi="ar-SA"/>
        </w:rPr>
      </w:pPr>
      <w:hyperlink w:anchor="_Toc473540364" w:history="1">
        <w:r w:rsidR="00AB7EBA" w:rsidRPr="00150F02">
          <w:rPr>
            <w:rStyle w:val="Hyperlink"/>
            <w:rFonts w:cs="Arial"/>
            <w:noProof/>
          </w:rPr>
          <w:t>3.3.3</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Bioinformatic analysis for potential toxicity</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_Toc473540364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7</w:t>
        </w:r>
        <w:r w:rsidR="00AB7EBA" w:rsidRPr="00150F02">
          <w:rPr>
            <w:rFonts w:ascii="Arial" w:hAnsi="Arial" w:cs="Arial"/>
            <w:noProof/>
            <w:webHidden/>
          </w:rPr>
          <w:fldChar w:fldCharType="end"/>
        </w:r>
      </w:hyperlink>
    </w:p>
    <w:p w14:paraId="2415DA79" w14:textId="77777777" w:rsidR="00AB7EBA" w:rsidRPr="00150F02" w:rsidRDefault="000340F8">
      <w:pPr>
        <w:pStyle w:val="TOC3"/>
        <w:rPr>
          <w:rFonts w:ascii="Arial" w:eastAsiaTheme="minorEastAsia" w:hAnsi="Arial" w:cs="Arial"/>
          <w:i w:val="0"/>
          <w:iCs w:val="0"/>
          <w:noProof/>
          <w:lang w:val="en-NZ" w:eastAsia="en-NZ" w:bidi="ar-SA"/>
        </w:rPr>
      </w:pPr>
      <w:hyperlink w:anchor="_Toc473540365" w:history="1">
        <w:r w:rsidR="00AB7EBA" w:rsidRPr="00150F02">
          <w:rPr>
            <w:rStyle w:val="Hyperlink"/>
            <w:rFonts w:cs="Arial"/>
            <w:noProof/>
          </w:rPr>
          <w:t>3.3.4</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Bioinformatic analysis for pepsin digestibility</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_Toc473540365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7</w:t>
        </w:r>
        <w:r w:rsidR="00AB7EBA" w:rsidRPr="00150F02">
          <w:rPr>
            <w:rFonts w:ascii="Arial" w:hAnsi="Arial" w:cs="Arial"/>
            <w:noProof/>
            <w:webHidden/>
          </w:rPr>
          <w:fldChar w:fldCharType="end"/>
        </w:r>
      </w:hyperlink>
    </w:p>
    <w:p w14:paraId="756B101F"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66" w:history="1">
        <w:r w:rsidR="00AB7EBA" w:rsidRPr="00150F02">
          <w:rPr>
            <w:rStyle w:val="Hyperlink"/>
            <w:rFonts w:cs="Arial"/>
            <w:noProof/>
            <w:lang w:eastAsia="en-AU"/>
          </w:rPr>
          <w:t>3.4</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lang w:eastAsia="en-AU"/>
          </w:rPr>
          <w:t>Evaluation of toxicity studies of the enzyme product</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_Toc473540366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8</w:t>
        </w:r>
        <w:r w:rsidR="00AB7EBA" w:rsidRPr="00150F02">
          <w:rPr>
            <w:rFonts w:ascii="Arial" w:hAnsi="Arial" w:cs="Arial"/>
            <w:noProof/>
            <w:webHidden/>
          </w:rPr>
          <w:fldChar w:fldCharType="end"/>
        </w:r>
      </w:hyperlink>
    </w:p>
    <w:p w14:paraId="27566FFF" w14:textId="77777777" w:rsidR="00AB7EBA" w:rsidRPr="00150F02" w:rsidRDefault="000340F8">
      <w:pPr>
        <w:pStyle w:val="TOC3"/>
        <w:rPr>
          <w:rFonts w:ascii="Arial" w:eastAsiaTheme="minorEastAsia" w:hAnsi="Arial" w:cs="Arial"/>
          <w:i w:val="0"/>
          <w:iCs w:val="0"/>
          <w:noProof/>
          <w:lang w:val="en-NZ" w:eastAsia="en-NZ" w:bidi="ar-SA"/>
        </w:rPr>
      </w:pPr>
      <w:hyperlink w:anchor="_Toc473540367" w:history="1">
        <w:r w:rsidR="00AB7EBA" w:rsidRPr="00150F02">
          <w:rPr>
            <w:rStyle w:val="Hyperlink"/>
            <w:rFonts w:cs="Arial"/>
            <w:noProof/>
          </w:rPr>
          <w:t>3.4.1</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Mutagenicity</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_Toc473540367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8</w:t>
        </w:r>
        <w:r w:rsidR="00AB7EBA" w:rsidRPr="00150F02">
          <w:rPr>
            <w:rFonts w:ascii="Arial" w:hAnsi="Arial" w:cs="Arial"/>
            <w:noProof/>
            <w:webHidden/>
          </w:rPr>
          <w:fldChar w:fldCharType="end"/>
        </w:r>
      </w:hyperlink>
    </w:p>
    <w:p w14:paraId="3A135158" w14:textId="77777777" w:rsidR="00AB7EBA" w:rsidRPr="00150F02" w:rsidRDefault="000340F8">
      <w:pPr>
        <w:pStyle w:val="TOC3"/>
        <w:rPr>
          <w:rFonts w:ascii="Arial" w:eastAsiaTheme="minorEastAsia" w:hAnsi="Arial" w:cs="Arial"/>
          <w:i w:val="0"/>
          <w:iCs w:val="0"/>
          <w:noProof/>
          <w:lang w:val="en-NZ" w:eastAsia="en-NZ" w:bidi="ar-SA"/>
        </w:rPr>
      </w:pPr>
      <w:hyperlink w:anchor="_Toc473540368" w:history="1">
        <w:r w:rsidR="00AB7EBA" w:rsidRPr="00150F02">
          <w:rPr>
            <w:rStyle w:val="Hyperlink"/>
            <w:rFonts w:cs="Arial"/>
            <w:noProof/>
          </w:rPr>
          <w:t>3.4.2</w:t>
        </w:r>
        <w:r w:rsidR="00AB7EBA" w:rsidRPr="00150F02">
          <w:rPr>
            <w:rFonts w:ascii="Arial" w:eastAsiaTheme="minorEastAsia" w:hAnsi="Arial" w:cs="Arial"/>
            <w:i w:val="0"/>
            <w:iCs w:val="0"/>
            <w:noProof/>
            <w:lang w:val="en-NZ" w:eastAsia="en-NZ" w:bidi="ar-SA"/>
          </w:rPr>
          <w:tab/>
        </w:r>
        <w:r w:rsidR="00AB7EBA" w:rsidRPr="00150F02">
          <w:rPr>
            <w:rStyle w:val="Hyperlink"/>
            <w:rFonts w:cs="Arial"/>
            <w:noProof/>
          </w:rPr>
          <w:t>Subchronic toxicity</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_Toc473540368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9</w:t>
        </w:r>
        <w:r w:rsidR="00AB7EBA" w:rsidRPr="00150F02">
          <w:rPr>
            <w:rFonts w:ascii="Arial" w:hAnsi="Arial" w:cs="Arial"/>
            <w:noProof/>
            <w:webHidden/>
          </w:rPr>
          <w:fldChar w:fldCharType="end"/>
        </w:r>
      </w:hyperlink>
    </w:p>
    <w:p w14:paraId="1224704B" w14:textId="77777777" w:rsidR="00AB7EBA" w:rsidRPr="00150F02" w:rsidRDefault="000340F8">
      <w:pPr>
        <w:pStyle w:val="TOC2"/>
        <w:tabs>
          <w:tab w:val="left" w:pos="880"/>
          <w:tab w:val="right" w:leader="dot" w:pos="9060"/>
        </w:tabs>
        <w:rPr>
          <w:rFonts w:ascii="Arial" w:eastAsiaTheme="minorEastAsia" w:hAnsi="Arial" w:cs="Arial"/>
          <w:smallCaps w:val="0"/>
          <w:noProof/>
          <w:lang w:val="en-NZ" w:eastAsia="en-NZ" w:bidi="ar-SA"/>
        </w:rPr>
      </w:pPr>
      <w:hyperlink w:anchor="_Toc473540369" w:history="1">
        <w:r w:rsidR="00AB7EBA" w:rsidRPr="00150F02">
          <w:rPr>
            <w:rStyle w:val="Hyperlink"/>
            <w:rFonts w:cs="Arial"/>
            <w:noProof/>
          </w:rPr>
          <w:t>3.5</w:t>
        </w:r>
        <w:r w:rsidR="00AB7EBA" w:rsidRPr="00150F02">
          <w:rPr>
            <w:rFonts w:ascii="Arial" w:eastAsiaTheme="minorEastAsia" w:hAnsi="Arial" w:cs="Arial"/>
            <w:smallCaps w:val="0"/>
            <w:noProof/>
            <w:lang w:val="en-NZ" w:eastAsia="en-NZ" w:bidi="ar-SA"/>
          </w:rPr>
          <w:tab/>
        </w:r>
        <w:r w:rsidR="00AB7EBA" w:rsidRPr="00150F02">
          <w:rPr>
            <w:rStyle w:val="Hyperlink"/>
            <w:rFonts w:cs="Arial"/>
            <w:noProof/>
          </w:rPr>
          <w:t>Risk Assessment Conclusions</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_Toc473540369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10</w:t>
        </w:r>
        <w:r w:rsidR="00AB7EBA" w:rsidRPr="00150F02">
          <w:rPr>
            <w:rFonts w:ascii="Arial" w:hAnsi="Arial" w:cs="Arial"/>
            <w:noProof/>
            <w:webHidden/>
          </w:rPr>
          <w:fldChar w:fldCharType="end"/>
        </w:r>
      </w:hyperlink>
    </w:p>
    <w:p w14:paraId="1AF4A020" w14:textId="77777777" w:rsidR="00AB7EBA" w:rsidRPr="00150F02" w:rsidRDefault="000340F8">
      <w:pPr>
        <w:pStyle w:val="TOC1"/>
        <w:tabs>
          <w:tab w:val="right" w:leader="dot" w:pos="9060"/>
        </w:tabs>
        <w:rPr>
          <w:rFonts w:ascii="Arial" w:eastAsiaTheme="minorEastAsia" w:hAnsi="Arial" w:cs="Arial"/>
          <w:b w:val="0"/>
          <w:bCs w:val="0"/>
          <w:caps w:val="0"/>
          <w:noProof/>
          <w:lang w:val="en-NZ" w:eastAsia="en-NZ" w:bidi="ar-SA"/>
        </w:rPr>
      </w:pPr>
      <w:hyperlink w:anchor="_Toc473540370" w:history="1">
        <w:r w:rsidR="00AB7EBA" w:rsidRPr="00150F02">
          <w:rPr>
            <w:rStyle w:val="Hyperlink"/>
            <w:rFonts w:cs="Arial"/>
            <w:noProof/>
          </w:rPr>
          <w:t>References</w:t>
        </w:r>
        <w:r w:rsidR="00AB7EBA" w:rsidRPr="00150F02">
          <w:rPr>
            <w:rFonts w:ascii="Arial" w:hAnsi="Arial" w:cs="Arial"/>
            <w:noProof/>
            <w:webHidden/>
          </w:rPr>
          <w:tab/>
        </w:r>
        <w:r w:rsidR="00AB7EBA" w:rsidRPr="00150F02">
          <w:rPr>
            <w:rFonts w:ascii="Arial" w:hAnsi="Arial" w:cs="Arial"/>
            <w:noProof/>
            <w:webHidden/>
          </w:rPr>
          <w:fldChar w:fldCharType="begin"/>
        </w:r>
        <w:r w:rsidR="00AB7EBA" w:rsidRPr="00150F02">
          <w:rPr>
            <w:rFonts w:ascii="Arial" w:hAnsi="Arial" w:cs="Arial"/>
            <w:noProof/>
            <w:webHidden/>
          </w:rPr>
          <w:instrText xml:space="preserve"> PAGEREF _Toc473540370 \h </w:instrText>
        </w:r>
        <w:r w:rsidR="00AB7EBA" w:rsidRPr="00150F02">
          <w:rPr>
            <w:rFonts w:ascii="Arial" w:hAnsi="Arial" w:cs="Arial"/>
            <w:noProof/>
            <w:webHidden/>
          </w:rPr>
        </w:r>
        <w:r w:rsidR="00AB7EBA" w:rsidRPr="00150F02">
          <w:rPr>
            <w:rFonts w:ascii="Arial" w:hAnsi="Arial" w:cs="Arial"/>
            <w:noProof/>
            <w:webHidden/>
          </w:rPr>
          <w:fldChar w:fldCharType="separate"/>
        </w:r>
        <w:r w:rsidR="00AB7EBA" w:rsidRPr="00150F02">
          <w:rPr>
            <w:rFonts w:ascii="Arial" w:hAnsi="Arial" w:cs="Arial"/>
            <w:noProof/>
            <w:webHidden/>
          </w:rPr>
          <w:t>11</w:t>
        </w:r>
        <w:r w:rsidR="00AB7EBA" w:rsidRPr="00150F02">
          <w:rPr>
            <w:rFonts w:ascii="Arial" w:hAnsi="Arial" w:cs="Arial"/>
            <w:noProof/>
            <w:webHidden/>
          </w:rPr>
          <w:fldChar w:fldCharType="end"/>
        </w:r>
      </w:hyperlink>
    </w:p>
    <w:p w14:paraId="0293866C" w14:textId="77777777" w:rsidR="00562917" w:rsidRDefault="00326D85" w:rsidP="00051ED9">
      <w:r w:rsidRPr="00150F02">
        <w:rPr>
          <w:rFonts w:cs="Arial"/>
          <w:sz w:val="20"/>
          <w:szCs w:val="20"/>
        </w:rPr>
        <w:fldChar w:fldCharType="end"/>
      </w:r>
    </w:p>
    <w:p w14:paraId="709898F3" w14:textId="77777777" w:rsidR="00E066BA" w:rsidRDefault="00E066BA" w:rsidP="00051ED9"/>
    <w:p w14:paraId="29309991" w14:textId="77777777" w:rsidR="00051ED9" w:rsidRDefault="00562917" w:rsidP="00772BDC">
      <w:r w:rsidRPr="00E203C2">
        <w:br w:type="page"/>
      </w:r>
    </w:p>
    <w:p w14:paraId="488020AC" w14:textId="77777777" w:rsidR="004F2E4C" w:rsidRPr="006234FD" w:rsidRDefault="004F2E4C" w:rsidP="004F2E4C">
      <w:pPr>
        <w:pStyle w:val="Heading1"/>
      </w:pPr>
      <w:bookmarkStart w:id="4" w:name="_Toc473540343"/>
      <w:r w:rsidRPr="006234FD">
        <w:lastRenderedPageBreak/>
        <w:t>1</w:t>
      </w:r>
      <w:r w:rsidRPr="006234FD">
        <w:tab/>
        <w:t>Introduction</w:t>
      </w:r>
      <w:bookmarkEnd w:id="4"/>
    </w:p>
    <w:p w14:paraId="76724DE2" w14:textId="2873AA84" w:rsidR="004F2E4C" w:rsidRDefault="004F2E4C" w:rsidP="008D614B">
      <w:r w:rsidRPr="0065343D">
        <w:rPr>
          <w:lang w:eastAsia="en-AU" w:bidi="ar-SA"/>
        </w:rPr>
        <w:t xml:space="preserve">FSANZ received an application from </w:t>
      </w:r>
      <w:r w:rsidR="0097358D" w:rsidRPr="0097358D">
        <w:rPr>
          <w:lang w:eastAsia="en-AU" w:bidi="ar-SA"/>
        </w:rPr>
        <w:t xml:space="preserve">Novozymes Australia Pty Ltd </w:t>
      </w:r>
      <w:r w:rsidRPr="0065343D">
        <w:rPr>
          <w:lang w:eastAsia="en-AU" w:bidi="ar-SA"/>
        </w:rPr>
        <w:t xml:space="preserve">seeking approval for the enzyme </w:t>
      </w:r>
      <w:r w:rsidR="000D6888">
        <w:rPr>
          <w:rFonts w:cs="Arial"/>
        </w:rPr>
        <w:t>β</w:t>
      </w:r>
      <w:r w:rsidR="000D6888">
        <w:rPr>
          <w:lang w:eastAsia="en-AU" w:bidi="ar-SA"/>
        </w:rPr>
        <w:t>-galactosidase</w:t>
      </w:r>
      <w:r w:rsidRPr="0065343D">
        <w:rPr>
          <w:lang w:eastAsia="en-AU" w:bidi="ar-SA"/>
        </w:rPr>
        <w:t xml:space="preserve"> (EC 3.</w:t>
      </w:r>
      <w:r>
        <w:rPr>
          <w:lang w:eastAsia="en-AU" w:bidi="ar-SA"/>
        </w:rPr>
        <w:t>2</w:t>
      </w:r>
      <w:r w:rsidRPr="0065343D">
        <w:rPr>
          <w:lang w:eastAsia="en-AU" w:bidi="ar-SA"/>
        </w:rPr>
        <w:t>.1.</w:t>
      </w:r>
      <w:r>
        <w:rPr>
          <w:lang w:eastAsia="en-AU" w:bidi="ar-SA"/>
        </w:rPr>
        <w:t>23</w:t>
      </w:r>
      <w:r w:rsidRPr="0065343D">
        <w:rPr>
          <w:lang w:eastAsia="en-AU" w:bidi="ar-SA"/>
        </w:rPr>
        <w:t>)</w:t>
      </w:r>
      <w:r w:rsidR="00F53069">
        <w:rPr>
          <w:lang w:eastAsia="en-AU" w:bidi="ar-SA"/>
        </w:rPr>
        <w:t xml:space="preserve">, </w:t>
      </w:r>
      <w:r w:rsidR="0097358D">
        <w:rPr>
          <w:lang w:eastAsia="en-AU" w:bidi="ar-SA"/>
        </w:rPr>
        <w:t>also</w:t>
      </w:r>
      <w:r w:rsidR="00F53069">
        <w:rPr>
          <w:lang w:eastAsia="en-AU" w:bidi="ar-SA"/>
        </w:rPr>
        <w:t xml:space="preserve"> known as lactase,</w:t>
      </w:r>
      <w:r w:rsidRPr="0065343D">
        <w:rPr>
          <w:lang w:eastAsia="en-AU" w:bidi="ar-SA"/>
        </w:rPr>
        <w:t xml:space="preserve"> </w:t>
      </w:r>
      <w:r w:rsidR="00F53069">
        <w:rPr>
          <w:lang w:eastAsia="en-AU" w:bidi="ar-SA"/>
        </w:rPr>
        <w:t xml:space="preserve">to be used </w:t>
      </w:r>
      <w:r w:rsidRPr="0065343D">
        <w:rPr>
          <w:lang w:eastAsia="en-AU" w:bidi="ar-SA"/>
        </w:rPr>
        <w:t xml:space="preserve">as a processing aid. The enzyme is sourced from a </w:t>
      </w:r>
      <w:r>
        <w:rPr>
          <w:lang w:eastAsia="en-AU" w:bidi="ar-SA"/>
        </w:rPr>
        <w:t>genetically modified</w:t>
      </w:r>
      <w:r w:rsidRPr="0065343D">
        <w:rPr>
          <w:lang w:eastAsia="en-AU" w:bidi="ar-SA"/>
        </w:rPr>
        <w:t xml:space="preserve"> strain of </w:t>
      </w:r>
      <w:r>
        <w:rPr>
          <w:i/>
          <w:lang w:eastAsia="en-AU" w:bidi="ar-SA"/>
        </w:rPr>
        <w:t>Bacillus licheniformis</w:t>
      </w:r>
      <w:r w:rsidR="000B52E2">
        <w:rPr>
          <w:lang w:eastAsia="en-AU" w:bidi="ar-SA"/>
        </w:rPr>
        <w:t xml:space="preserve"> expressing a </w:t>
      </w:r>
      <w:r w:rsidR="000B52E2">
        <w:rPr>
          <w:rFonts w:cs="Arial"/>
          <w:color w:val="000000" w:themeColor="text1"/>
        </w:rPr>
        <w:t xml:space="preserve">lactase gene from </w:t>
      </w:r>
      <w:r w:rsidR="000B52E2">
        <w:rPr>
          <w:rFonts w:cs="Arial"/>
          <w:i/>
          <w:color w:val="000000" w:themeColor="text1"/>
        </w:rPr>
        <w:t>Bifidobacterium bifidum</w:t>
      </w:r>
      <w:r w:rsidRPr="0065343D">
        <w:rPr>
          <w:lang w:eastAsia="en-AU" w:bidi="ar-SA"/>
        </w:rPr>
        <w:t xml:space="preserve">. </w:t>
      </w:r>
      <w:r w:rsidR="00F53069">
        <w:rPr>
          <w:rFonts w:cs="Arial"/>
        </w:rPr>
        <w:t>Lactase</w:t>
      </w:r>
      <w:r w:rsidRPr="0065343D">
        <w:rPr>
          <w:lang w:eastAsia="en-AU" w:bidi="ar-SA"/>
        </w:rPr>
        <w:t xml:space="preserve"> </w:t>
      </w:r>
      <w:r w:rsidR="00F53069">
        <w:rPr>
          <w:lang w:eastAsia="en-AU" w:bidi="ar-SA"/>
        </w:rPr>
        <w:t>will be</w:t>
      </w:r>
      <w:r w:rsidRPr="0065343D">
        <w:rPr>
          <w:lang w:eastAsia="en-AU" w:bidi="ar-SA"/>
        </w:rPr>
        <w:t xml:space="preserve"> produced from this </w:t>
      </w:r>
      <w:r>
        <w:rPr>
          <w:lang w:eastAsia="en-AU" w:bidi="ar-SA"/>
        </w:rPr>
        <w:t>bacterial</w:t>
      </w:r>
      <w:r w:rsidRPr="0065343D">
        <w:rPr>
          <w:lang w:eastAsia="en-AU" w:bidi="ar-SA"/>
        </w:rPr>
        <w:t xml:space="preserve"> species by a fermentation process.</w:t>
      </w:r>
    </w:p>
    <w:p w14:paraId="3CA08283" w14:textId="77777777" w:rsidR="000B52E2" w:rsidRPr="0065343D" w:rsidRDefault="000B52E2" w:rsidP="008D614B"/>
    <w:p w14:paraId="7BE6A6F6" w14:textId="0BDC257E" w:rsidR="000B52E2" w:rsidRPr="0065343D" w:rsidRDefault="000B52E2" w:rsidP="00DC5F0E">
      <w:pPr>
        <w:rPr>
          <w:lang w:eastAsia="en-AU" w:bidi="ar-SA"/>
        </w:rPr>
      </w:pPr>
      <w:r w:rsidRPr="0065343D">
        <w:rPr>
          <w:lang w:eastAsia="en-AU" w:bidi="ar-SA"/>
        </w:rPr>
        <w:t xml:space="preserve">The Applicant states the enzyme will be used </w:t>
      </w:r>
      <w:r>
        <w:rPr>
          <w:lang w:eastAsia="en-AU" w:bidi="ar-SA"/>
        </w:rPr>
        <w:t xml:space="preserve">during the </w:t>
      </w:r>
      <w:r w:rsidR="0015507C">
        <w:rPr>
          <w:lang w:eastAsia="en-AU" w:bidi="ar-SA"/>
        </w:rPr>
        <w:t xml:space="preserve">processing </w:t>
      </w:r>
      <w:r>
        <w:rPr>
          <w:lang w:eastAsia="en-AU" w:bidi="ar-SA"/>
        </w:rPr>
        <w:t>of cow’s milk and other lactose-containing products to produce lactose-free or reduced-lactose dairy products</w:t>
      </w:r>
      <w:r w:rsidRPr="0065343D">
        <w:rPr>
          <w:lang w:eastAsia="en-AU" w:bidi="ar-SA"/>
        </w:rPr>
        <w:t>.</w:t>
      </w:r>
      <w:r w:rsidRPr="000B52E2">
        <w:rPr>
          <w:lang w:eastAsia="en-AU" w:bidi="ar-SA"/>
        </w:rPr>
        <w:t xml:space="preserve"> </w:t>
      </w:r>
      <w:r w:rsidR="0015507C">
        <w:rPr>
          <w:lang w:eastAsia="en-AU" w:bidi="ar-SA"/>
        </w:rPr>
        <w:t>T</w:t>
      </w:r>
      <w:r w:rsidRPr="000C70B3">
        <w:rPr>
          <w:lang w:eastAsia="en-AU" w:bidi="ar-SA"/>
        </w:rPr>
        <w:t xml:space="preserve">he use of </w:t>
      </w:r>
      <w:r>
        <w:rPr>
          <w:lang w:eastAsia="en-AU" w:bidi="ar-SA"/>
        </w:rPr>
        <w:t>lactase</w:t>
      </w:r>
      <w:r w:rsidRPr="000C70B3">
        <w:rPr>
          <w:lang w:eastAsia="en-AU" w:bidi="ar-SA"/>
        </w:rPr>
        <w:t xml:space="preserve"> results in improvement of organoleptic properties (taste and flavour), physi</w:t>
      </w:r>
      <w:r w:rsidR="00221BD3">
        <w:rPr>
          <w:lang w:eastAsia="en-AU" w:bidi="ar-SA"/>
        </w:rPr>
        <w:t>cochemical</w:t>
      </w:r>
      <w:r w:rsidRPr="000C70B3">
        <w:rPr>
          <w:lang w:eastAsia="en-AU" w:bidi="ar-SA"/>
        </w:rPr>
        <w:t xml:space="preserve"> properties (</w:t>
      </w:r>
      <w:r>
        <w:rPr>
          <w:lang w:eastAsia="en-AU" w:bidi="ar-SA"/>
        </w:rPr>
        <w:t>texture</w:t>
      </w:r>
      <w:r w:rsidRPr="000C70B3">
        <w:rPr>
          <w:lang w:eastAsia="en-AU" w:bidi="ar-SA"/>
        </w:rPr>
        <w:t xml:space="preserve"> and freezing point) and nutritional properties (digestibility).</w:t>
      </w:r>
    </w:p>
    <w:p w14:paraId="2609E9CB" w14:textId="77777777" w:rsidR="004F2E4C" w:rsidRPr="0065343D" w:rsidRDefault="004F2E4C" w:rsidP="004F2E4C">
      <w:pPr>
        <w:pStyle w:val="Heading2"/>
      </w:pPr>
      <w:bookmarkStart w:id="5" w:name="_Toc473540344"/>
      <w:r w:rsidRPr="0065343D">
        <w:t>1.1</w:t>
      </w:r>
      <w:r w:rsidRPr="0065343D">
        <w:tab/>
        <w:t>Objectives of the risk and technical assessment</w:t>
      </w:r>
      <w:bookmarkEnd w:id="5"/>
    </w:p>
    <w:p w14:paraId="655AE723" w14:textId="57F3D1ED" w:rsidR="004F2E4C" w:rsidRPr="00C94D18" w:rsidRDefault="004F2E4C" w:rsidP="008D614B">
      <w:pPr>
        <w:rPr>
          <w:highlight w:val="yellow"/>
          <w:lang w:eastAsia="en-AU" w:bidi="ar-SA"/>
        </w:rPr>
      </w:pPr>
      <w:r w:rsidRPr="00F87D40">
        <w:rPr>
          <w:lang w:eastAsia="en-AU" w:bidi="ar-SA"/>
        </w:rPr>
        <w:t xml:space="preserve">Currently, there are no permissions for the enzyme </w:t>
      </w:r>
      <w:r w:rsidR="000B52E2" w:rsidRPr="00F87D40">
        <w:rPr>
          <w:lang w:eastAsia="en-AU" w:bidi="ar-SA"/>
        </w:rPr>
        <w:t>lactase</w:t>
      </w:r>
      <w:r w:rsidRPr="00F87D40">
        <w:rPr>
          <w:lang w:eastAsia="en-AU" w:bidi="ar-SA"/>
        </w:rPr>
        <w:t xml:space="preserve"> from </w:t>
      </w:r>
      <w:r w:rsidR="000B52E2" w:rsidRPr="00F87D40">
        <w:rPr>
          <w:i/>
          <w:lang w:eastAsia="en-AU" w:bidi="ar-SA"/>
        </w:rPr>
        <w:t>B. bifidum</w:t>
      </w:r>
      <w:r w:rsidRPr="00F87D40">
        <w:rPr>
          <w:lang w:eastAsia="en-AU" w:bidi="ar-SA"/>
        </w:rPr>
        <w:t xml:space="preserve"> in the Code. Therefore, any application to amend the Code to permit the use of this enzyme as a food processing aid requires a pre-market assessment. </w:t>
      </w:r>
    </w:p>
    <w:p w14:paraId="6B62141C" w14:textId="77777777" w:rsidR="004F2E4C" w:rsidRPr="00C94D18" w:rsidRDefault="004F2E4C" w:rsidP="004F2E4C">
      <w:pPr>
        <w:rPr>
          <w:highlight w:val="yellow"/>
          <w:lang w:eastAsia="en-AU" w:bidi="ar-SA"/>
        </w:rPr>
      </w:pPr>
    </w:p>
    <w:p w14:paraId="2CAA73AE" w14:textId="1E95C702" w:rsidR="004F2E4C" w:rsidRPr="00F87D40" w:rsidRDefault="004F2E4C" w:rsidP="004F2E4C">
      <w:pPr>
        <w:rPr>
          <w:lang w:eastAsia="en-AU" w:bidi="ar-SA"/>
        </w:rPr>
      </w:pPr>
      <w:r w:rsidRPr="00F87D40">
        <w:rPr>
          <w:lang w:eastAsia="en-AU" w:bidi="ar-SA"/>
        </w:rPr>
        <w:t xml:space="preserve">The objectives of this risk assessment </w:t>
      </w:r>
      <w:r w:rsidR="00F87D40">
        <w:rPr>
          <w:lang w:eastAsia="en-AU" w:bidi="ar-SA"/>
        </w:rPr>
        <w:t>are</w:t>
      </w:r>
      <w:r w:rsidRPr="00F87D40">
        <w:rPr>
          <w:lang w:eastAsia="en-AU" w:bidi="ar-SA"/>
        </w:rPr>
        <w:t xml:space="preserve"> to:</w:t>
      </w:r>
    </w:p>
    <w:p w14:paraId="22249748" w14:textId="77777777" w:rsidR="004F2E4C" w:rsidRPr="00F87D40" w:rsidRDefault="004F2E4C" w:rsidP="004F2E4C">
      <w:pPr>
        <w:rPr>
          <w:lang w:eastAsia="en-AU" w:bidi="ar-SA"/>
        </w:rPr>
      </w:pPr>
    </w:p>
    <w:p w14:paraId="70CC5A0E" w14:textId="29F9E8A1" w:rsidR="004F2E4C" w:rsidRPr="00DE4BBE" w:rsidRDefault="004F2E4C" w:rsidP="00DC5F0E">
      <w:pPr>
        <w:pStyle w:val="FSBullet1"/>
      </w:pPr>
      <w:r w:rsidRPr="00F87D40">
        <w:t>determ</w:t>
      </w:r>
      <w:r w:rsidRPr="00DE4BBE">
        <w:t>ine whether the proposed purpose is clearly stated and that the enzyme achieves its technological function in the quantity and form proposed to be used as a food processing aid</w:t>
      </w:r>
    </w:p>
    <w:p w14:paraId="3DCD9A11" w14:textId="13F517C5" w:rsidR="004F2E4C" w:rsidRPr="00F87D40" w:rsidRDefault="004F2E4C" w:rsidP="00DC5F0E">
      <w:pPr>
        <w:pStyle w:val="FSBullet1"/>
      </w:pPr>
      <w:r w:rsidRPr="00DE4BBE">
        <w:t>evaluat</w:t>
      </w:r>
      <w:r w:rsidRPr="00F87D40">
        <w:t xml:space="preserve">e any potential public health and safety concerns that may arise from the use of </w:t>
      </w:r>
      <w:r w:rsidR="00F87D40" w:rsidRPr="00F87D40">
        <w:t>lactase</w:t>
      </w:r>
      <w:r w:rsidRPr="00F87D40">
        <w:t xml:space="preserve"> as a processing aid.</w:t>
      </w:r>
    </w:p>
    <w:p w14:paraId="6788EA05" w14:textId="0E265A90" w:rsidR="00C94D18" w:rsidRDefault="00C94D18" w:rsidP="00C94D18">
      <w:pPr>
        <w:pStyle w:val="Heading1"/>
      </w:pPr>
      <w:bookmarkStart w:id="6" w:name="_Toc473540345"/>
      <w:r>
        <w:t>2</w:t>
      </w:r>
      <w:r>
        <w:tab/>
      </w:r>
      <w:r w:rsidRPr="007E5C24">
        <w:t>Food</w:t>
      </w:r>
      <w:r>
        <w:t xml:space="preserve"> </w:t>
      </w:r>
      <w:r w:rsidR="00DE4BBE">
        <w:t>t</w:t>
      </w:r>
      <w:r>
        <w:t xml:space="preserve">echnology </w:t>
      </w:r>
      <w:r w:rsidR="00DE4BBE">
        <w:t>a</w:t>
      </w:r>
      <w:r>
        <w:t>ssessment</w:t>
      </w:r>
      <w:bookmarkEnd w:id="6"/>
    </w:p>
    <w:p w14:paraId="0A86B2E3" w14:textId="41A46F5A" w:rsidR="00C94D18" w:rsidRDefault="00C94D18" w:rsidP="00DE4BBE">
      <w:pPr>
        <w:pStyle w:val="Heading2"/>
      </w:pPr>
      <w:bookmarkStart w:id="7" w:name="_Toc473540346"/>
      <w:r>
        <w:t>2.1</w:t>
      </w:r>
      <w:r>
        <w:tab/>
        <w:t xml:space="preserve">Characterisation of </w:t>
      </w:r>
      <w:r w:rsidR="001B6D26" w:rsidRPr="001B6D26">
        <w:t>β-galactosidase</w:t>
      </w:r>
      <w:r w:rsidR="001B6D26">
        <w:t xml:space="preserve"> </w:t>
      </w:r>
      <w:r w:rsidR="001B6D26">
        <w:lastRenderedPageBreak/>
        <w:t>(lactase)</w:t>
      </w:r>
      <w:bookmarkEnd w:id="7"/>
    </w:p>
    <w:p w14:paraId="6C89659C" w14:textId="77777777" w:rsidR="00C94D18" w:rsidRDefault="00C94D18" w:rsidP="00337FF5">
      <w:pPr>
        <w:pStyle w:val="Heading3"/>
      </w:pPr>
      <w:bookmarkStart w:id="8" w:name="_Toc473540347"/>
      <w:r>
        <w:t>2.1.1</w:t>
      </w:r>
      <w:r>
        <w:tab/>
        <w:t>Identity of the enzyme</w:t>
      </w:r>
      <w:bookmarkEnd w:id="8"/>
    </w:p>
    <w:p w14:paraId="461F6743" w14:textId="01F436B9" w:rsidR="00A26603" w:rsidRDefault="00A26603" w:rsidP="008D614B">
      <w:pPr>
        <w:rPr>
          <w:lang w:eastAsia="en-AU" w:bidi="ar-SA"/>
        </w:rPr>
      </w:pPr>
      <w:r>
        <w:rPr>
          <w:lang w:eastAsia="en-AU" w:bidi="ar-SA"/>
        </w:rPr>
        <w:t xml:space="preserve">Information regarding the identity of the enzyme provided by the Application has been verified using the appropriate internationally accepted reference for enzyme nomenclature, the International Union of Biology and Molecular </w:t>
      </w:r>
      <w:r w:rsidRPr="00DD6B6A">
        <w:rPr>
          <w:lang w:eastAsia="en-AU" w:bidi="ar-SA"/>
        </w:rPr>
        <w:t>Biology (</w:t>
      </w:r>
      <w:hyperlink r:id="rId21" w:history="1">
        <w:r w:rsidRPr="00C323E2">
          <w:rPr>
            <w:rStyle w:val="Hyperlink"/>
            <w:lang w:eastAsia="en-AU" w:bidi="ar-SA"/>
          </w:rPr>
          <w:t>IUBMB</w:t>
        </w:r>
      </w:hyperlink>
      <w:r w:rsidR="00C323E2">
        <w:rPr>
          <w:rStyle w:val="FootnoteReference"/>
          <w:lang w:eastAsia="en-AU" w:bidi="ar-SA"/>
        </w:rPr>
        <w:footnoteReference w:id="2"/>
      </w:r>
      <w:r w:rsidRPr="00DD6B6A">
        <w:rPr>
          <w:lang w:eastAsia="en-AU" w:bidi="ar-SA"/>
        </w:rPr>
        <w:t xml:space="preserve">). </w:t>
      </w:r>
      <w:r>
        <w:rPr>
          <w:lang w:eastAsia="en-AU" w:bidi="ar-SA"/>
        </w:rPr>
        <w:t>Additional information located from the IUBMB has also been included.</w:t>
      </w:r>
    </w:p>
    <w:p w14:paraId="3DC958C5" w14:textId="77777777" w:rsidR="00A26603" w:rsidRDefault="00A26603" w:rsidP="00A26603">
      <w:pPr>
        <w:rPr>
          <w:lang w:eastAsia="en-AU" w:bidi="ar-SA"/>
        </w:rPr>
      </w:pPr>
    </w:p>
    <w:p w14:paraId="705F58D4" w14:textId="306EA2D6" w:rsidR="00A26603" w:rsidRDefault="00A26603" w:rsidP="00A26603">
      <w:pPr>
        <w:tabs>
          <w:tab w:val="left" w:pos="2835"/>
        </w:tabs>
        <w:rPr>
          <w:lang w:eastAsia="en-AU" w:bidi="ar-SA"/>
        </w:rPr>
      </w:pPr>
      <w:r>
        <w:rPr>
          <w:lang w:eastAsia="en-AU" w:bidi="ar-SA"/>
        </w:rPr>
        <w:t>Generic common name</w:t>
      </w:r>
      <w:r>
        <w:rPr>
          <w:lang w:eastAsia="en-AU" w:bidi="ar-SA"/>
        </w:rPr>
        <w:tab/>
      </w:r>
      <w:r w:rsidR="004D3F74">
        <w:rPr>
          <w:rFonts w:cs="Arial"/>
        </w:rPr>
        <w:t>β</w:t>
      </w:r>
      <w:r w:rsidR="004D3F74">
        <w:rPr>
          <w:lang w:eastAsia="en-AU" w:bidi="ar-SA"/>
        </w:rPr>
        <w:t>-galactosidase</w:t>
      </w:r>
    </w:p>
    <w:p w14:paraId="14DFA000" w14:textId="130E8E1D" w:rsidR="00A26603" w:rsidRDefault="00A26603" w:rsidP="00A26603">
      <w:pPr>
        <w:tabs>
          <w:tab w:val="left" w:pos="2835"/>
        </w:tabs>
        <w:rPr>
          <w:lang w:eastAsia="en-AU" w:bidi="ar-SA"/>
        </w:rPr>
      </w:pPr>
      <w:r>
        <w:rPr>
          <w:lang w:eastAsia="en-AU" w:bidi="ar-SA"/>
        </w:rPr>
        <w:t>Accepted IUBMB name</w:t>
      </w:r>
      <w:r>
        <w:rPr>
          <w:lang w:eastAsia="en-AU" w:bidi="ar-SA"/>
        </w:rPr>
        <w:tab/>
      </w:r>
      <w:r w:rsidR="004D3F74" w:rsidRPr="00A26603">
        <w:rPr>
          <w:lang w:eastAsia="en-AU" w:bidi="ar-SA"/>
        </w:rPr>
        <w:t>β-D-galactoside galactohydrolase</w:t>
      </w:r>
    </w:p>
    <w:p w14:paraId="6209D187" w14:textId="515455A9" w:rsidR="00A26603" w:rsidRDefault="00A26603" w:rsidP="00A26603">
      <w:pPr>
        <w:tabs>
          <w:tab w:val="left" w:pos="2835"/>
        </w:tabs>
        <w:rPr>
          <w:lang w:eastAsia="en-AU" w:bidi="ar-SA"/>
        </w:rPr>
      </w:pPr>
      <w:r>
        <w:rPr>
          <w:lang w:eastAsia="en-AU" w:bidi="ar-SA"/>
        </w:rPr>
        <w:t>EC</w:t>
      </w:r>
      <w:r>
        <w:rPr>
          <w:rStyle w:val="FootnoteReference"/>
          <w:lang w:eastAsia="en-AU" w:bidi="ar-SA"/>
        </w:rPr>
        <w:footnoteReference w:id="3"/>
      </w:r>
      <w:r>
        <w:rPr>
          <w:lang w:eastAsia="en-AU" w:bidi="ar-SA"/>
        </w:rPr>
        <w:t xml:space="preserve"> number</w:t>
      </w:r>
      <w:r>
        <w:rPr>
          <w:lang w:eastAsia="en-AU" w:bidi="ar-SA"/>
        </w:rPr>
        <w:tab/>
      </w:r>
      <w:r>
        <w:rPr>
          <w:lang w:eastAsia="en-AU" w:bidi="ar-SA"/>
        </w:rPr>
        <w:tab/>
        <w:t>3.2.1.23</w:t>
      </w:r>
    </w:p>
    <w:p w14:paraId="2DB8045B" w14:textId="5D1EA2F8" w:rsidR="00A26603" w:rsidRDefault="00A26603" w:rsidP="00A26603">
      <w:pPr>
        <w:tabs>
          <w:tab w:val="left" w:pos="2835"/>
        </w:tabs>
        <w:rPr>
          <w:lang w:eastAsia="en-AU" w:bidi="ar-SA"/>
        </w:rPr>
      </w:pPr>
      <w:r>
        <w:rPr>
          <w:lang w:eastAsia="en-AU" w:bidi="ar-SA"/>
        </w:rPr>
        <w:t>CAS number</w:t>
      </w:r>
      <w:r>
        <w:rPr>
          <w:lang w:eastAsia="en-AU" w:bidi="ar-SA"/>
        </w:rPr>
        <w:tab/>
      </w:r>
      <w:r>
        <w:rPr>
          <w:lang w:eastAsia="en-AU" w:bidi="ar-SA"/>
        </w:rPr>
        <w:tab/>
        <w:t>9031-11-2</w:t>
      </w:r>
    </w:p>
    <w:p w14:paraId="078BE882" w14:textId="4C3517E5" w:rsidR="00A26603" w:rsidRDefault="00A26603" w:rsidP="00A26603">
      <w:pPr>
        <w:tabs>
          <w:tab w:val="left" w:pos="2835"/>
        </w:tabs>
        <w:rPr>
          <w:lang w:eastAsia="en-AU" w:bidi="ar-SA"/>
        </w:rPr>
      </w:pPr>
      <w:r>
        <w:rPr>
          <w:lang w:eastAsia="en-AU" w:bidi="ar-SA"/>
        </w:rPr>
        <w:t>Commercial name</w:t>
      </w:r>
      <w:r>
        <w:rPr>
          <w:lang w:eastAsia="en-AU" w:bidi="ar-SA"/>
        </w:rPr>
        <w:tab/>
      </w:r>
      <w:r>
        <w:rPr>
          <w:lang w:eastAsia="en-AU" w:bidi="ar-SA"/>
        </w:rPr>
        <w:tab/>
      </w:r>
      <w:r w:rsidR="00E02F10">
        <w:t xml:space="preserve">Saphera </w:t>
      </w:r>
    </w:p>
    <w:p w14:paraId="1F69BD57" w14:textId="3EA65435" w:rsidR="004D3F74" w:rsidRDefault="004D3F74" w:rsidP="004D3F74">
      <w:pPr>
        <w:tabs>
          <w:tab w:val="left" w:pos="2835"/>
        </w:tabs>
        <w:ind w:left="2835" w:hanging="2835"/>
        <w:rPr>
          <w:lang w:eastAsia="en-AU" w:bidi="ar-SA"/>
        </w:rPr>
      </w:pPr>
      <w:r>
        <w:rPr>
          <w:lang w:eastAsia="en-AU" w:bidi="ar-SA"/>
        </w:rPr>
        <w:t>Other names</w:t>
      </w:r>
      <w:r>
        <w:rPr>
          <w:lang w:eastAsia="en-AU" w:bidi="ar-SA"/>
        </w:rPr>
        <w:tab/>
        <w:t>lactase, β-lactosidase, maxilact, lactozyme, S 2107, trilactase, hydrolact, β-D-galactanase, oryzatym and sumiklat</w:t>
      </w:r>
    </w:p>
    <w:p w14:paraId="344B8962" w14:textId="734EC0CE" w:rsidR="00150F02" w:rsidRDefault="00A26603" w:rsidP="00F87D40">
      <w:pPr>
        <w:tabs>
          <w:tab w:val="left" w:pos="2835"/>
        </w:tabs>
        <w:ind w:left="2835" w:hanging="2835"/>
        <w:rPr>
          <w:lang w:eastAsia="en-AU" w:bidi="ar-SA"/>
        </w:rPr>
      </w:pPr>
      <w:r>
        <w:rPr>
          <w:lang w:eastAsia="en-AU" w:bidi="ar-SA"/>
        </w:rPr>
        <w:t xml:space="preserve">Reaction: </w:t>
      </w:r>
      <w:r w:rsidR="00F87D40">
        <w:rPr>
          <w:lang w:eastAsia="en-AU" w:bidi="ar-SA"/>
        </w:rPr>
        <w:tab/>
      </w:r>
      <w:r>
        <w:rPr>
          <w:lang w:eastAsia="en-AU" w:bidi="ar-SA"/>
        </w:rPr>
        <w:t>Hydrolysis of</w:t>
      </w:r>
      <w:r w:rsidRPr="00A26603">
        <w:rPr>
          <w:lang w:eastAsia="en-AU" w:bidi="ar-SA"/>
        </w:rPr>
        <w:t xml:space="preserve"> terminal non-reducing β-D-galactose residues in β-D-galactosides</w:t>
      </w:r>
      <w:r w:rsidR="00150F02">
        <w:rPr>
          <w:lang w:eastAsia="en-AU" w:bidi="ar-SA"/>
        </w:rPr>
        <w:br w:type="page"/>
      </w:r>
    </w:p>
    <w:p w14:paraId="2EBB3623" w14:textId="544C9420" w:rsidR="00F5374D" w:rsidRDefault="00F5374D" w:rsidP="00F5374D">
      <w:pPr>
        <w:pStyle w:val="Heading3"/>
      </w:pPr>
      <w:bookmarkStart w:id="9" w:name="_Toc473540348"/>
      <w:r>
        <w:lastRenderedPageBreak/>
        <w:t>2.1.2</w:t>
      </w:r>
      <w:r>
        <w:tab/>
        <w:t>Enzymatic properties</w:t>
      </w:r>
      <w:bookmarkEnd w:id="9"/>
    </w:p>
    <w:p w14:paraId="3BA30179" w14:textId="6EBBEEFC" w:rsidR="00F5374D" w:rsidRDefault="000B52E2" w:rsidP="008D614B">
      <w:r>
        <w:rPr>
          <w:lang w:eastAsia="en-AU" w:bidi="ar-SA"/>
        </w:rPr>
        <w:t xml:space="preserve">Lactase </w:t>
      </w:r>
      <w:r w:rsidRPr="00F53069">
        <w:rPr>
          <w:lang w:eastAsia="en-AU" w:bidi="ar-SA"/>
        </w:rPr>
        <w:t>catalyse</w:t>
      </w:r>
      <w:r>
        <w:rPr>
          <w:lang w:eastAsia="en-AU" w:bidi="ar-SA"/>
        </w:rPr>
        <w:t>s</w:t>
      </w:r>
      <w:r w:rsidRPr="00F53069">
        <w:rPr>
          <w:lang w:eastAsia="en-AU" w:bidi="ar-SA"/>
        </w:rPr>
        <w:t xml:space="preserve"> the hydrolysis of</w:t>
      </w:r>
      <w:r>
        <w:rPr>
          <w:lang w:eastAsia="en-AU" w:bidi="ar-SA"/>
        </w:rPr>
        <w:t xml:space="preserve"> </w:t>
      </w:r>
      <w:r w:rsidR="00CC3A4A">
        <w:rPr>
          <w:lang w:eastAsia="en-AU" w:bidi="ar-SA"/>
        </w:rPr>
        <w:t xml:space="preserve">terminal non-reducing </w:t>
      </w:r>
      <w:r w:rsidR="00CC3A4A" w:rsidRPr="00A26603">
        <w:rPr>
          <w:lang w:eastAsia="en-AU" w:bidi="ar-SA"/>
        </w:rPr>
        <w:t>β</w:t>
      </w:r>
      <w:r w:rsidR="00CC3A4A">
        <w:rPr>
          <w:lang w:eastAsia="en-AU" w:bidi="ar-SA"/>
        </w:rPr>
        <w:t xml:space="preserve">-D-galactose residues in </w:t>
      </w:r>
      <w:r w:rsidR="00CC3A4A" w:rsidRPr="00A26603">
        <w:rPr>
          <w:lang w:eastAsia="en-AU" w:bidi="ar-SA"/>
        </w:rPr>
        <w:t>β</w:t>
      </w:r>
      <w:r w:rsidR="00CC3A4A">
        <w:rPr>
          <w:lang w:eastAsia="en-AU" w:bidi="ar-SA"/>
        </w:rPr>
        <w:t xml:space="preserve">-D-galactosides. The most common reaction is the hydrolysis </w:t>
      </w:r>
      <w:r>
        <w:rPr>
          <w:lang w:eastAsia="en-AU" w:bidi="ar-SA"/>
        </w:rPr>
        <w:t xml:space="preserve">of the disaccharide </w:t>
      </w:r>
      <w:r w:rsidR="00CC3A4A">
        <w:rPr>
          <w:lang w:eastAsia="en-AU" w:bidi="ar-SA"/>
        </w:rPr>
        <w:t>D-</w:t>
      </w:r>
      <w:r>
        <w:rPr>
          <w:lang w:eastAsia="en-AU" w:bidi="ar-SA"/>
        </w:rPr>
        <w:t xml:space="preserve">lactose, resulting in the generation of the monosaccharides, </w:t>
      </w:r>
      <w:r w:rsidR="00CC3A4A">
        <w:rPr>
          <w:lang w:eastAsia="en-AU" w:bidi="ar-SA"/>
        </w:rPr>
        <w:t>D-</w:t>
      </w:r>
      <w:r>
        <w:rPr>
          <w:lang w:eastAsia="en-AU" w:bidi="ar-SA"/>
        </w:rPr>
        <w:t xml:space="preserve">glucose and </w:t>
      </w:r>
      <w:r w:rsidR="00CC3A4A">
        <w:rPr>
          <w:lang w:eastAsia="en-AU" w:bidi="ar-SA"/>
        </w:rPr>
        <w:t>D-</w:t>
      </w:r>
      <w:r>
        <w:rPr>
          <w:lang w:eastAsia="en-AU" w:bidi="ar-SA"/>
        </w:rPr>
        <w:t>galactose</w:t>
      </w:r>
      <w:r w:rsidRPr="000C70B3">
        <w:rPr>
          <w:lang w:eastAsia="en-AU" w:bidi="ar-SA"/>
        </w:rPr>
        <w:t xml:space="preserve">. </w:t>
      </w:r>
    </w:p>
    <w:p w14:paraId="1A5175DF" w14:textId="77777777" w:rsidR="00F5374D" w:rsidRDefault="00F5374D" w:rsidP="008D614B">
      <w:pPr>
        <w:pStyle w:val="Heading3"/>
      </w:pPr>
      <w:bookmarkStart w:id="10" w:name="_Toc473540349"/>
      <w:r>
        <w:t>2.1.3</w:t>
      </w:r>
      <w:r>
        <w:tab/>
        <w:t>Physical properties</w:t>
      </w:r>
      <w:bookmarkEnd w:id="10"/>
    </w:p>
    <w:p w14:paraId="69F424A4" w14:textId="587F81F9" w:rsidR="00F87D40" w:rsidRDefault="00C96BB5" w:rsidP="00DC5F0E">
      <w:r>
        <w:t xml:space="preserve">The </w:t>
      </w:r>
      <w:r w:rsidR="00F87D40">
        <w:t>commercial enzyme preparation is supplied in two forms</w:t>
      </w:r>
      <w:r w:rsidR="000D279F">
        <w:t>, based on two proposed uses</w:t>
      </w:r>
      <w:r w:rsidR="00F87D40">
        <w:t>:</w:t>
      </w:r>
    </w:p>
    <w:p w14:paraId="24525C4A" w14:textId="77777777" w:rsidR="00DE4BBE" w:rsidRDefault="00DE4BBE" w:rsidP="00DC5F0E"/>
    <w:p w14:paraId="1EE1AAF8" w14:textId="3652A743" w:rsidR="00F87D40" w:rsidRDefault="00F87D40" w:rsidP="00DC5F0E">
      <w:pPr>
        <w:pStyle w:val="ListParagraph"/>
        <w:numPr>
          <w:ilvl w:val="0"/>
          <w:numId w:val="10"/>
        </w:numPr>
        <w:ind w:left="567" w:hanging="567"/>
        <w:contextualSpacing w:val="0"/>
      </w:pPr>
      <w:r>
        <w:t xml:space="preserve">Saphera 900 LS – </w:t>
      </w:r>
      <w:r w:rsidRPr="00F87D40">
        <w:t xml:space="preserve">a </w:t>
      </w:r>
      <w:r w:rsidR="007C16D6">
        <w:t xml:space="preserve">sterile, </w:t>
      </w:r>
      <w:r w:rsidRPr="00F87D40">
        <w:t xml:space="preserve">light </w:t>
      </w:r>
      <w:r w:rsidR="00ED1D38">
        <w:t>yellow</w:t>
      </w:r>
      <w:r w:rsidRPr="00F87D40">
        <w:t xml:space="preserve"> liquid preparation with approximately </w:t>
      </w:r>
      <w:r>
        <w:t>0.8</w:t>
      </w:r>
      <w:r w:rsidRPr="00F87D40">
        <w:t xml:space="preserve">% </w:t>
      </w:r>
      <w:r w:rsidR="00815CD6">
        <w:t>(</w:t>
      </w:r>
      <w:r w:rsidR="00ED1D89">
        <w:t>w/w</w:t>
      </w:r>
      <w:r w:rsidR="00815CD6">
        <w:t>)</w:t>
      </w:r>
      <w:r w:rsidR="00ED1D89">
        <w:t xml:space="preserve"> </w:t>
      </w:r>
      <w:r w:rsidR="00221BD3">
        <w:t>enzyme</w:t>
      </w:r>
      <w:r w:rsidRPr="00F87D40">
        <w:t xml:space="preserve">, </w:t>
      </w:r>
      <w:r>
        <w:t xml:space="preserve">60% </w:t>
      </w:r>
      <w:r w:rsidR="00815CD6">
        <w:t>(</w:t>
      </w:r>
      <w:r w:rsidR="00ED1D89">
        <w:t>w/w</w:t>
      </w:r>
      <w:r w:rsidR="00815CD6">
        <w:t>)</w:t>
      </w:r>
      <w:r w:rsidR="00ED1D89">
        <w:t xml:space="preserve"> </w:t>
      </w:r>
      <w:r>
        <w:t>glycerol and 39.2</w:t>
      </w:r>
      <w:r w:rsidRPr="00F87D40">
        <w:t xml:space="preserve">% </w:t>
      </w:r>
      <w:r w:rsidR="00815CD6">
        <w:t>(</w:t>
      </w:r>
      <w:r w:rsidR="00ED1D89">
        <w:t>w/w</w:t>
      </w:r>
      <w:r w:rsidR="00815CD6">
        <w:t>)</w:t>
      </w:r>
      <w:r w:rsidR="00ED1D89">
        <w:t xml:space="preserve"> </w:t>
      </w:r>
      <w:r w:rsidRPr="00F87D40">
        <w:t>water</w:t>
      </w:r>
      <w:r>
        <w:t xml:space="preserve"> </w:t>
      </w:r>
    </w:p>
    <w:p w14:paraId="09117310" w14:textId="13B5627D" w:rsidR="00F5374D" w:rsidRDefault="00F87D40" w:rsidP="00DE4BBE">
      <w:pPr>
        <w:pStyle w:val="ListParagraph"/>
        <w:numPr>
          <w:ilvl w:val="0"/>
          <w:numId w:val="10"/>
        </w:numPr>
        <w:ind w:left="567" w:hanging="567"/>
      </w:pPr>
      <w:r>
        <w:t>Saphera 2600</w:t>
      </w:r>
      <w:r w:rsidR="007C16D6">
        <w:t xml:space="preserve"> L</w:t>
      </w:r>
      <w:r>
        <w:t xml:space="preserve"> – </w:t>
      </w:r>
      <w:r w:rsidRPr="00F87D40">
        <w:t>a</w:t>
      </w:r>
      <w:r>
        <w:t xml:space="preserve"> </w:t>
      </w:r>
      <w:r w:rsidRPr="00F87D40">
        <w:t xml:space="preserve">light </w:t>
      </w:r>
      <w:r w:rsidR="00ED1D38">
        <w:t>yellow</w:t>
      </w:r>
      <w:r w:rsidRPr="00F87D40">
        <w:t xml:space="preserve"> liquid preparation with approximately </w:t>
      </w:r>
      <w:r>
        <w:t>2.3</w:t>
      </w:r>
      <w:r w:rsidRPr="00F87D40">
        <w:t xml:space="preserve">% </w:t>
      </w:r>
      <w:r w:rsidR="00815CD6">
        <w:t>(</w:t>
      </w:r>
      <w:r w:rsidR="00ED1D89">
        <w:t>w/w</w:t>
      </w:r>
      <w:r w:rsidR="00815CD6">
        <w:t>)</w:t>
      </w:r>
      <w:r w:rsidR="00ED1D89">
        <w:t xml:space="preserve"> </w:t>
      </w:r>
      <w:r w:rsidR="00221BD3">
        <w:t>enzyme</w:t>
      </w:r>
      <w:r w:rsidRPr="00F87D40">
        <w:t xml:space="preserve">, </w:t>
      </w:r>
      <w:r>
        <w:t xml:space="preserve">60% </w:t>
      </w:r>
      <w:r w:rsidR="00815CD6">
        <w:t>(</w:t>
      </w:r>
      <w:r w:rsidR="00ED1D89">
        <w:t>w/w</w:t>
      </w:r>
      <w:r w:rsidR="00815CD6">
        <w:t>)</w:t>
      </w:r>
      <w:r w:rsidR="00ED1D89">
        <w:t xml:space="preserve"> </w:t>
      </w:r>
      <w:r>
        <w:t>glycerol and 3</w:t>
      </w:r>
      <w:r w:rsidRPr="00F87D40">
        <w:t>7</w:t>
      </w:r>
      <w:r>
        <w:t>.7</w:t>
      </w:r>
      <w:r w:rsidRPr="00F87D40">
        <w:t xml:space="preserve">% </w:t>
      </w:r>
      <w:r w:rsidR="00815CD6">
        <w:t>(</w:t>
      </w:r>
      <w:r w:rsidR="00ED1D89">
        <w:t>w/w</w:t>
      </w:r>
      <w:r w:rsidR="00815CD6">
        <w:t>)</w:t>
      </w:r>
      <w:r w:rsidR="00ED1D89">
        <w:t xml:space="preserve"> </w:t>
      </w:r>
      <w:r w:rsidRPr="00F87D40">
        <w:t>water</w:t>
      </w:r>
    </w:p>
    <w:p w14:paraId="7624E3B5" w14:textId="77777777" w:rsidR="00DE4BBE" w:rsidRDefault="00DE4BBE" w:rsidP="00DC5F0E">
      <w:pPr>
        <w:rPr>
          <w:lang w:eastAsia="en-AU"/>
        </w:rPr>
      </w:pPr>
    </w:p>
    <w:p w14:paraId="6FFE92A7" w14:textId="7D79F419" w:rsidR="00F87D40" w:rsidRDefault="00F87D40" w:rsidP="00DC5F0E">
      <w:pPr>
        <w:rPr>
          <w:lang w:eastAsia="en-GB" w:bidi="ar-SA"/>
        </w:rPr>
      </w:pPr>
      <w:r>
        <w:rPr>
          <w:lang w:eastAsia="en-AU"/>
        </w:rPr>
        <w:t>The enzyme preparations are standardised to an activity of 900 and 26</w:t>
      </w:r>
      <w:r w:rsidR="007B7B89">
        <w:rPr>
          <w:lang w:eastAsia="en-AU"/>
        </w:rPr>
        <w:t>00 lactase activity units (LAU)</w:t>
      </w:r>
      <w:r w:rsidR="004D2D26">
        <w:rPr>
          <w:lang w:eastAsia="en-AU"/>
        </w:rPr>
        <w:t xml:space="preserve"> per </w:t>
      </w:r>
      <w:r w:rsidR="007B7B89">
        <w:rPr>
          <w:lang w:eastAsia="en-AU"/>
        </w:rPr>
        <w:t>g</w:t>
      </w:r>
      <w:r w:rsidR="004D2D26">
        <w:rPr>
          <w:lang w:eastAsia="en-AU"/>
        </w:rPr>
        <w:t>ram</w:t>
      </w:r>
      <w:r w:rsidR="007B7B89">
        <w:rPr>
          <w:lang w:eastAsia="en-AU"/>
        </w:rPr>
        <w:t xml:space="preserve"> </w:t>
      </w:r>
      <w:r w:rsidR="002B1E20">
        <w:rPr>
          <w:lang w:eastAsia="en-AU"/>
        </w:rPr>
        <w:t xml:space="preserve">of </w:t>
      </w:r>
      <w:r w:rsidR="004D2D26">
        <w:rPr>
          <w:lang w:eastAsia="en-AU"/>
        </w:rPr>
        <w:t>Saphera</w:t>
      </w:r>
      <w:r>
        <w:rPr>
          <w:lang w:eastAsia="en-AU"/>
        </w:rPr>
        <w:t>.</w:t>
      </w:r>
      <w:r w:rsidRPr="00C14583">
        <w:rPr>
          <w:lang w:eastAsia="en-GB" w:bidi="ar-SA"/>
        </w:rPr>
        <w:t xml:space="preserve"> </w:t>
      </w:r>
      <w:r>
        <w:rPr>
          <w:lang w:eastAsia="en-GB" w:bidi="ar-SA"/>
        </w:rPr>
        <w:t xml:space="preserve">The maximum recommended </w:t>
      </w:r>
      <w:r w:rsidR="00E05DC0">
        <w:rPr>
          <w:lang w:eastAsia="en-GB" w:bidi="ar-SA"/>
        </w:rPr>
        <w:t xml:space="preserve">amount </w:t>
      </w:r>
      <w:r w:rsidR="00135D02">
        <w:rPr>
          <w:lang w:eastAsia="en-GB" w:bidi="ar-SA"/>
        </w:rPr>
        <w:t xml:space="preserve">for food manufacturing </w:t>
      </w:r>
      <w:r>
        <w:rPr>
          <w:lang w:eastAsia="en-GB" w:bidi="ar-SA"/>
        </w:rPr>
        <w:t xml:space="preserve">is </w:t>
      </w:r>
      <w:r w:rsidR="007C16D6">
        <w:rPr>
          <w:lang w:eastAsia="en-GB" w:bidi="ar-SA"/>
        </w:rPr>
        <w:t>7500</w:t>
      </w:r>
      <w:r>
        <w:rPr>
          <w:lang w:eastAsia="en-GB" w:bidi="ar-SA"/>
        </w:rPr>
        <w:t> </w:t>
      </w:r>
      <w:r w:rsidR="00AD1873">
        <w:rPr>
          <w:lang w:eastAsia="en-GB" w:bidi="ar-SA"/>
        </w:rPr>
        <w:t>LAU</w:t>
      </w:r>
      <w:r w:rsidR="00CE3E3B">
        <w:rPr>
          <w:lang w:eastAsia="en-GB" w:bidi="ar-SA"/>
        </w:rPr>
        <w:t xml:space="preserve"> per</w:t>
      </w:r>
      <w:r w:rsidR="00221BD3">
        <w:rPr>
          <w:lang w:eastAsia="en-GB" w:bidi="ar-SA"/>
        </w:rPr>
        <w:t xml:space="preserve"> </w:t>
      </w:r>
      <w:r>
        <w:rPr>
          <w:lang w:eastAsia="en-GB" w:bidi="ar-SA"/>
        </w:rPr>
        <w:t>kg</w:t>
      </w:r>
      <w:r w:rsidR="00CE3E3B">
        <w:rPr>
          <w:lang w:eastAsia="en-GB" w:bidi="ar-SA"/>
        </w:rPr>
        <w:t xml:space="preserve"> of</w:t>
      </w:r>
      <w:r>
        <w:rPr>
          <w:lang w:eastAsia="en-GB" w:bidi="ar-SA"/>
        </w:rPr>
        <w:t xml:space="preserve"> </w:t>
      </w:r>
      <w:r w:rsidR="007C16D6">
        <w:rPr>
          <w:lang w:eastAsia="en-GB" w:bidi="ar-SA"/>
        </w:rPr>
        <w:t>lactose</w:t>
      </w:r>
      <w:r w:rsidR="007766F2">
        <w:rPr>
          <w:lang w:eastAsia="en-GB" w:bidi="ar-SA"/>
        </w:rPr>
        <w:t xml:space="preserve">. This corresponds to 2.88 g of Saphera 2600 L per kg lactose, which is equivalent to 66 mg </w:t>
      </w:r>
      <w:r w:rsidR="00213A49">
        <w:rPr>
          <w:lang w:eastAsia="en-GB" w:bidi="ar-SA"/>
        </w:rPr>
        <w:t xml:space="preserve">of the </w:t>
      </w:r>
      <w:r w:rsidR="007766F2">
        <w:rPr>
          <w:lang w:eastAsia="en-GB" w:bidi="ar-SA"/>
        </w:rPr>
        <w:t xml:space="preserve">enzyme </w:t>
      </w:r>
      <w:r w:rsidR="00213A49">
        <w:rPr>
          <w:lang w:eastAsia="en-GB" w:bidi="ar-SA"/>
        </w:rPr>
        <w:t xml:space="preserve">product </w:t>
      </w:r>
      <w:r w:rsidR="003E6AB9">
        <w:rPr>
          <w:lang w:eastAsia="en-GB" w:bidi="ar-SA"/>
        </w:rPr>
        <w:t>per kg lactose</w:t>
      </w:r>
      <w:r>
        <w:rPr>
          <w:lang w:eastAsia="en-GB" w:bidi="ar-SA"/>
        </w:rPr>
        <w:t>.</w:t>
      </w:r>
    </w:p>
    <w:p w14:paraId="4320F334" w14:textId="77777777" w:rsidR="00337FF5" w:rsidRDefault="00337FF5" w:rsidP="00337FF5">
      <w:pPr>
        <w:pStyle w:val="Heading2"/>
        <w:rPr>
          <w:lang w:eastAsia="en-AU"/>
        </w:rPr>
      </w:pPr>
      <w:bookmarkStart w:id="11" w:name="_Toc473540350"/>
      <w:r>
        <w:rPr>
          <w:lang w:eastAsia="en-AU"/>
        </w:rPr>
        <w:t>2.2</w:t>
      </w:r>
      <w:r>
        <w:rPr>
          <w:lang w:eastAsia="en-AU"/>
        </w:rPr>
        <w:tab/>
        <w:t>Production of the enzyme</w:t>
      </w:r>
      <w:bookmarkEnd w:id="11"/>
    </w:p>
    <w:p w14:paraId="25C73E80" w14:textId="781B553E" w:rsidR="009D517F" w:rsidRPr="00040A4E" w:rsidRDefault="009D517F" w:rsidP="008D614B">
      <w:pPr>
        <w:rPr>
          <w:rFonts w:cs="Arial"/>
        </w:rPr>
      </w:pPr>
      <w:r w:rsidRPr="00040A4E">
        <w:rPr>
          <w:rFonts w:cs="Arial"/>
        </w:rPr>
        <w:t xml:space="preserve">The enzyme is produced by a submerged fed-batch pure culture fermentation process which is common for the production of many </w:t>
      </w:r>
      <w:r w:rsidRPr="00865D5A">
        <w:rPr>
          <w:rFonts w:cs="Arial"/>
        </w:rPr>
        <w:t>food</w:t>
      </w:r>
      <w:r w:rsidR="00865D5A">
        <w:rPr>
          <w:rFonts w:cs="Arial"/>
        </w:rPr>
        <w:t>-grade</w:t>
      </w:r>
      <w:r w:rsidRPr="00865D5A">
        <w:rPr>
          <w:rFonts w:cs="Arial"/>
        </w:rPr>
        <w:t xml:space="preserve"> enzymes</w:t>
      </w:r>
      <w:r w:rsidRPr="00040A4E">
        <w:rPr>
          <w:rFonts w:cs="Arial"/>
        </w:rPr>
        <w:t>.</w:t>
      </w:r>
    </w:p>
    <w:p w14:paraId="67B57204" w14:textId="77777777" w:rsidR="009D517F" w:rsidRPr="00040A4E" w:rsidRDefault="009D517F" w:rsidP="008D614B">
      <w:pPr>
        <w:rPr>
          <w:rFonts w:cs="Arial"/>
        </w:rPr>
      </w:pPr>
    </w:p>
    <w:p w14:paraId="36E3E22A" w14:textId="42FF42A9" w:rsidR="009D517F" w:rsidRDefault="009D517F" w:rsidP="008D614B">
      <w:pPr>
        <w:rPr>
          <w:rFonts w:cs="Arial"/>
        </w:rPr>
      </w:pPr>
      <w:r w:rsidRPr="00040A4E">
        <w:rPr>
          <w:rFonts w:cs="Arial"/>
        </w:rPr>
        <w:t xml:space="preserve">The production steps can be summarised as a fermentation process, a purification process, formulation of the final commercial enzyme preparation, and a quality control </w:t>
      </w:r>
      <w:r w:rsidRPr="00865D5A">
        <w:rPr>
          <w:rFonts w:cs="Arial"/>
        </w:rPr>
        <w:t>process</w:t>
      </w:r>
      <w:r w:rsidRPr="00040A4E">
        <w:rPr>
          <w:rFonts w:cs="Arial"/>
        </w:rPr>
        <w:t>. The raw materials used are food grade</w:t>
      </w:r>
      <w:r>
        <w:rPr>
          <w:rFonts w:cs="Arial"/>
        </w:rPr>
        <w:t xml:space="preserve"> and the enzyme preparations are </w:t>
      </w:r>
      <w:r w:rsidR="00895F7C">
        <w:rPr>
          <w:rFonts w:cs="Arial"/>
        </w:rPr>
        <w:t xml:space="preserve">stated by the Applicant </w:t>
      </w:r>
      <w:r>
        <w:rPr>
          <w:rFonts w:cs="Arial"/>
        </w:rPr>
        <w:t>to be made according to Good Manufacturing Processes for food</w:t>
      </w:r>
      <w:r w:rsidRPr="00040A4E">
        <w:rPr>
          <w:rFonts w:cs="Arial"/>
        </w:rPr>
        <w:t>.</w:t>
      </w:r>
    </w:p>
    <w:p w14:paraId="5F682F83" w14:textId="77777777" w:rsidR="009D517F" w:rsidRDefault="009D517F" w:rsidP="008D614B">
      <w:pPr>
        <w:rPr>
          <w:rFonts w:cs="Arial"/>
        </w:rPr>
      </w:pPr>
    </w:p>
    <w:p w14:paraId="3AF38EA7" w14:textId="294F6B5F" w:rsidR="009D517F" w:rsidRDefault="009D517F" w:rsidP="00150F02">
      <w:pPr>
        <w:ind w:right="-286"/>
        <w:rPr>
          <w:rFonts w:cs="Arial"/>
        </w:rPr>
      </w:pPr>
      <w:r w:rsidRPr="00040A4E">
        <w:rPr>
          <w:rFonts w:cs="Arial"/>
        </w:rPr>
        <w:t xml:space="preserve">The fermentation process involves two steps, the initial inoculum fermentations to produce enough of the microorganism for the </w:t>
      </w:r>
      <w:r w:rsidRPr="00040A4E">
        <w:rPr>
          <w:rFonts w:cs="Arial"/>
        </w:rPr>
        <w:lastRenderedPageBreak/>
        <w:t xml:space="preserve">production fermentation and then the main fermentation. The downstream processing steps taken after the main fermentation to produce the enzyme </w:t>
      </w:r>
      <w:r>
        <w:rPr>
          <w:rFonts w:cs="Arial"/>
        </w:rPr>
        <w:t xml:space="preserve">preparation </w:t>
      </w:r>
      <w:r w:rsidRPr="00040A4E">
        <w:rPr>
          <w:rFonts w:cs="Arial"/>
        </w:rPr>
        <w:t xml:space="preserve">consist of: removal of the production strain and other solids, ultrafiltration </w:t>
      </w:r>
      <w:r>
        <w:rPr>
          <w:rFonts w:cs="Arial"/>
        </w:rPr>
        <w:t xml:space="preserve">and/or evaporation </w:t>
      </w:r>
      <w:r w:rsidRPr="00040A4E">
        <w:rPr>
          <w:rFonts w:cs="Arial"/>
        </w:rPr>
        <w:t>to concentrate and further purify the enzyme, pre</w:t>
      </w:r>
      <w:r>
        <w:rPr>
          <w:rFonts w:cs="Arial"/>
        </w:rPr>
        <w:t>servation and stabilisation and then a final filtration</w:t>
      </w:r>
      <w:r w:rsidRPr="00040A4E">
        <w:rPr>
          <w:rFonts w:cs="Arial"/>
        </w:rPr>
        <w:t>.</w:t>
      </w:r>
      <w:r w:rsidRPr="00EB7A41">
        <w:rPr>
          <w:rFonts w:cs="Arial"/>
        </w:rPr>
        <w:t xml:space="preserve"> </w:t>
      </w:r>
      <w:r w:rsidRPr="00040A4E">
        <w:rPr>
          <w:rFonts w:cs="Arial"/>
        </w:rPr>
        <w:t>More detail of the individual steps is provided in the Application</w:t>
      </w:r>
      <w:r>
        <w:rPr>
          <w:rFonts w:cs="Arial"/>
        </w:rPr>
        <w:t>.</w:t>
      </w:r>
    </w:p>
    <w:p w14:paraId="062BBC91" w14:textId="77777777" w:rsidR="00D14930" w:rsidRDefault="00D14930" w:rsidP="008D614B">
      <w:pPr>
        <w:rPr>
          <w:rFonts w:cs="Arial"/>
        </w:rPr>
      </w:pPr>
    </w:p>
    <w:p w14:paraId="7A2971E2" w14:textId="3BCFC054" w:rsidR="007E54C2" w:rsidRDefault="00D14930" w:rsidP="00DC5F0E">
      <w:pPr>
        <w:rPr>
          <w:lang w:eastAsia="en-AU" w:bidi="ar-SA"/>
        </w:rPr>
      </w:pPr>
      <w:r>
        <w:rPr>
          <w:lang w:eastAsia="en-AU" w:bidi="ar-SA"/>
        </w:rPr>
        <w:t>All the raw materials used in the production of the enzyme preparation are permitted food additives and processing aids in the Code (as detailed in the Application) and are</w:t>
      </w:r>
      <w:r w:rsidR="00A86622">
        <w:rPr>
          <w:lang w:eastAsia="en-AU" w:bidi="ar-SA"/>
        </w:rPr>
        <w:t xml:space="preserve"> appropriate for their purpose.</w:t>
      </w:r>
    </w:p>
    <w:p w14:paraId="6F0F0A3C" w14:textId="4BA31604" w:rsidR="009D517F" w:rsidRDefault="009D517F" w:rsidP="009D517F">
      <w:pPr>
        <w:pStyle w:val="Heading3"/>
      </w:pPr>
      <w:bookmarkStart w:id="12" w:name="_Toc420679493"/>
      <w:bookmarkStart w:id="13" w:name="_Toc473540351"/>
      <w:r>
        <w:t>2.</w:t>
      </w:r>
      <w:r w:rsidR="00D14930">
        <w:t>2</w:t>
      </w:r>
      <w:r>
        <w:t xml:space="preserve">.1. Potential presence of </w:t>
      </w:r>
      <w:r w:rsidRPr="009D517F">
        <w:t>allergens</w:t>
      </w:r>
      <w:bookmarkEnd w:id="12"/>
      <w:bookmarkEnd w:id="13"/>
      <w:r>
        <w:t xml:space="preserve"> </w:t>
      </w:r>
    </w:p>
    <w:p w14:paraId="2F089B48" w14:textId="0DCC6293" w:rsidR="009D517F" w:rsidRPr="00783064" w:rsidRDefault="009D517F" w:rsidP="008D614B">
      <w:pPr>
        <w:rPr>
          <w:rFonts w:cs="Arial"/>
        </w:rPr>
      </w:pPr>
      <w:r w:rsidRPr="00783064">
        <w:t>Soybean meal is one of the potential vegetable protein raw material sources for the fermentation. Starch hydrolysates</w:t>
      </w:r>
      <w:r>
        <w:t>, which can be produced from wheat starch,</w:t>
      </w:r>
      <w:r w:rsidRPr="00783064">
        <w:t xml:space="preserve"> may also be used as a fermentation raw material</w:t>
      </w:r>
      <w:r>
        <w:t xml:space="preserve">. </w:t>
      </w:r>
      <w:r w:rsidR="00DC5F0E">
        <w:t>T</w:t>
      </w:r>
      <w:r w:rsidR="00ED1D38">
        <w:t xml:space="preserve">he Applicant </w:t>
      </w:r>
      <w:r w:rsidR="00BE5845">
        <w:t xml:space="preserve">has provided evidence </w:t>
      </w:r>
      <w:r w:rsidR="00ED1D38">
        <w:t xml:space="preserve">that soy </w:t>
      </w:r>
      <w:r w:rsidR="00086543">
        <w:t xml:space="preserve">proteins </w:t>
      </w:r>
      <w:r w:rsidR="00ED1D38">
        <w:t>and gluten are not present in the final enzyme preparation.</w:t>
      </w:r>
    </w:p>
    <w:p w14:paraId="4C6D57DE" w14:textId="77777777" w:rsidR="00337FF5" w:rsidRDefault="00337FF5" w:rsidP="00337FF5">
      <w:pPr>
        <w:pStyle w:val="Heading2"/>
        <w:rPr>
          <w:lang w:eastAsia="en-AU"/>
        </w:rPr>
      </w:pPr>
      <w:bookmarkStart w:id="14" w:name="_Toc473540352"/>
      <w:r>
        <w:rPr>
          <w:lang w:eastAsia="en-AU"/>
        </w:rPr>
        <w:t>2.3</w:t>
      </w:r>
      <w:r>
        <w:rPr>
          <w:lang w:eastAsia="en-AU"/>
        </w:rPr>
        <w:tab/>
        <w:t>Specifications</w:t>
      </w:r>
      <w:bookmarkEnd w:id="14"/>
    </w:p>
    <w:p w14:paraId="138126C9" w14:textId="77777777" w:rsidR="00150F02" w:rsidRDefault="000A735A" w:rsidP="008D614B">
      <w:pPr>
        <w:rPr>
          <w:lang w:eastAsia="en-AU" w:bidi="ar-SA"/>
        </w:rPr>
      </w:pPr>
      <w:r>
        <w:rPr>
          <w:lang w:eastAsia="en-AU" w:bidi="ar-SA"/>
        </w:rPr>
        <w:t xml:space="preserve">There are international specifications for enzyme preparations used in food production. </w:t>
      </w:r>
      <w:r w:rsidR="00150F02">
        <w:rPr>
          <w:lang w:eastAsia="en-AU" w:bidi="ar-SA"/>
        </w:rPr>
        <w:br w:type="page"/>
      </w:r>
    </w:p>
    <w:p w14:paraId="0872F631" w14:textId="502E18FB" w:rsidR="000A735A" w:rsidRDefault="000A735A" w:rsidP="008D614B">
      <w:pPr>
        <w:rPr>
          <w:lang w:eastAsia="en-AU" w:bidi="ar-SA"/>
        </w:rPr>
      </w:pPr>
      <w:r w:rsidRPr="00DD6B6A">
        <w:rPr>
          <w:lang w:eastAsia="en-AU" w:bidi="ar-SA"/>
        </w:rPr>
        <w:lastRenderedPageBreak/>
        <w:t xml:space="preserve">These have been established by the Joint FAO/WHO Expert Committee on Food Additives </w:t>
      </w:r>
      <w:r w:rsidR="001B6D26">
        <w:rPr>
          <w:lang w:eastAsia="en-AU" w:bidi="ar-SA"/>
        </w:rPr>
        <w:t>(</w:t>
      </w:r>
      <w:r w:rsidR="00A60016">
        <w:rPr>
          <w:lang w:eastAsia="en-AU" w:bidi="ar-SA"/>
        </w:rPr>
        <w:t>JECFA</w:t>
      </w:r>
      <w:r w:rsidR="001B6D26">
        <w:rPr>
          <w:lang w:eastAsia="en-AU" w:bidi="ar-SA"/>
        </w:rPr>
        <w:t xml:space="preserve">; </w:t>
      </w:r>
      <w:hyperlink r:id="rId22" w:history="1">
        <w:r w:rsidR="00263575" w:rsidRPr="00602089">
          <w:rPr>
            <w:rStyle w:val="Hyperlink"/>
            <w:lang w:eastAsia="en-AU" w:bidi="ar-SA"/>
          </w:rPr>
          <w:t>Food Safety and Quality</w:t>
        </w:r>
      </w:hyperlink>
      <w:r w:rsidR="00263575">
        <w:rPr>
          <w:rStyle w:val="FootnoteReference"/>
          <w:lang w:eastAsia="en-AU" w:bidi="ar-SA"/>
        </w:rPr>
        <w:footnoteReference w:id="4"/>
      </w:r>
      <w:r w:rsidRPr="00DD6B6A">
        <w:rPr>
          <w:lang w:eastAsia="en-AU" w:bidi="ar-SA"/>
        </w:rPr>
        <w:t>) and the Food Chemical</w:t>
      </w:r>
      <w:r w:rsidR="00D02F7C">
        <w:rPr>
          <w:lang w:eastAsia="en-AU" w:bidi="ar-SA"/>
        </w:rPr>
        <w:t>s</w:t>
      </w:r>
      <w:r w:rsidRPr="00DD6B6A">
        <w:rPr>
          <w:lang w:eastAsia="en-AU" w:bidi="ar-SA"/>
        </w:rPr>
        <w:t xml:space="preserve"> Codex (</w:t>
      </w:r>
      <w:r w:rsidR="00713B41">
        <w:rPr>
          <w:lang w:eastAsia="en-AU" w:bidi="ar-SA"/>
        </w:rPr>
        <w:t>USP</w:t>
      </w:r>
      <w:r w:rsidR="00F0469D">
        <w:rPr>
          <w:lang w:eastAsia="en-AU" w:bidi="ar-SA"/>
        </w:rPr>
        <w:t>,</w:t>
      </w:r>
      <w:r w:rsidRPr="00DD6B6A">
        <w:rPr>
          <w:lang w:eastAsia="en-AU" w:bidi="ar-SA"/>
        </w:rPr>
        <w:t xml:space="preserve"> 201</w:t>
      </w:r>
      <w:r w:rsidR="00713B41">
        <w:rPr>
          <w:lang w:eastAsia="en-AU" w:bidi="ar-SA"/>
        </w:rPr>
        <w:t>4</w:t>
      </w:r>
      <w:r w:rsidRPr="00DD6B6A">
        <w:rPr>
          <w:lang w:eastAsia="en-AU" w:bidi="ar-SA"/>
        </w:rPr>
        <w:t xml:space="preserve">). </w:t>
      </w:r>
      <w:r>
        <w:rPr>
          <w:lang w:eastAsia="en-AU" w:bidi="ar-SA"/>
        </w:rPr>
        <w:t>Both of these specification sources are primary sources listed in Schedule 3 (Identity and Purity), specifically section S3</w:t>
      </w:r>
      <w:r w:rsidR="00DE4BBE">
        <w:rPr>
          <w:rFonts w:cs="Arial"/>
          <w:lang w:eastAsia="en-AU" w:bidi="ar-SA"/>
        </w:rPr>
        <w:t>—</w:t>
      </w:r>
      <w:r>
        <w:rPr>
          <w:lang w:eastAsia="en-AU" w:bidi="ar-SA"/>
        </w:rPr>
        <w:t>2. Enzyme</w:t>
      </w:r>
      <w:r w:rsidR="00602089">
        <w:rPr>
          <w:lang w:eastAsia="en-AU" w:bidi="ar-SA"/>
        </w:rPr>
        <w:t xml:space="preserve"> preparations </w:t>
      </w:r>
      <w:r w:rsidR="00D9551E">
        <w:rPr>
          <w:lang w:eastAsia="en-AU" w:bidi="ar-SA"/>
        </w:rPr>
        <w:t xml:space="preserve">must </w:t>
      </w:r>
      <w:r w:rsidR="00602089">
        <w:rPr>
          <w:lang w:eastAsia="en-AU" w:bidi="ar-SA"/>
        </w:rPr>
        <w:t>meet the</w:t>
      </w:r>
      <w:r w:rsidR="00263575">
        <w:rPr>
          <w:lang w:eastAsia="en-AU" w:bidi="ar-SA"/>
        </w:rPr>
        <w:t>se</w:t>
      </w:r>
      <w:r>
        <w:rPr>
          <w:lang w:eastAsia="en-AU" w:bidi="ar-SA"/>
        </w:rPr>
        <w:t xml:space="preserve"> </w:t>
      </w:r>
      <w:r w:rsidR="00602089">
        <w:rPr>
          <w:lang w:eastAsia="en-AU" w:bidi="ar-SA"/>
        </w:rPr>
        <w:t>purity</w:t>
      </w:r>
      <w:r>
        <w:rPr>
          <w:lang w:eastAsia="en-AU" w:bidi="ar-SA"/>
        </w:rPr>
        <w:t xml:space="preserve"> specifications</w:t>
      </w:r>
      <w:r w:rsidR="00263575">
        <w:rPr>
          <w:lang w:eastAsia="en-AU" w:bidi="ar-SA"/>
        </w:rPr>
        <w:t>.</w:t>
      </w:r>
    </w:p>
    <w:p w14:paraId="3D5B59C4" w14:textId="77777777" w:rsidR="000A735A" w:rsidRDefault="000A735A" w:rsidP="008D614B">
      <w:pPr>
        <w:rPr>
          <w:lang w:eastAsia="en-AU" w:bidi="ar-SA"/>
        </w:rPr>
      </w:pPr>
    </w:p>
    <w:p w14:paraId="435D0141" w14:textId="28611ADE" w:rsidR="000A735A" w:rsidRDefault="000A735A" w:rsidP="008D614B">
      <w:pPr>
        <w:rPr>
          <w:lang w:eastAsia="en-AU" w:bidi="ar-SA"/>
        </w:rPr>
      </w:pPr>
      <w:r>
        <w:rPr>
          <w:lang w:eastAsia="en-AU" w:bidi="ar-SA"/>
        </w:rPr>
        <w:t xml:space="preserve">The Application provides analytical results on </w:t>
      </w:r>
      <w:r w:rsidR="00F0469D">
        <w:rPr>
          <w:lang w:eastAsia="en-AU" w:bidi="ar-SA"/>
        </w:rPr>
        <w:t xml:space="preserve">a lactase batch (OFFR 6-7) </w:t>
      </w:r>
      <w:r>
        <w:rPr>
          <w:lang w:eastAsia="en-AU" w:bidi="ar-SA"/>
        </w:rPr>
        <w:t>confirming the enzyme</w:t>
      </w:r>
      <w:r w:rsidR="00602089">
        <w:rPr>
          <w:lang w:eastAsia="en-AU" w:bidi="ar-SA"/>
        </w:rPr>
        <w:t xml:space="preserve"> preparation meets the</w:t>
      </w:r>
      <w:r w:rsidR="00263575">
        <w:rPr>
          <w:lang w:eastAsia="en-AU" w:bidi="ar-SA"/>
        </w:rPr>
        <w:t xml:space="preserve"> required </w:t>
      </w:r>
      <w:r>
        <w:rPr>
          <w:lang w:eastAsia="en-AU" w:bidi="ar-SA"/>
        </w:rPr>
        <w:t>international specifications</w:t>
      </w:r>
      <w:r w:rsidR="00602089">
        <w:rPr>
          <w:lang w:eastAsia="en-AU" w:bidi="ar-SA"/>
        </w:rPr>
        <w:t xml:space="preserve"> </w:t>
      </w:r>
      <w:r w:rsidR="00263575">
        <w:rPr>
          <w:lang w:eastAsia="en-AU" w:bidi="ar-SA"/>
        </w:rPr>
        <w:t>(</w:t>
      </w:r>
      <w:r>
        <w:rPr>
          <w:lang w:eastAsia="en-AU" w:bidi="ar-SA"/>
        </w:rPr>
        <w:t xml:space="preserve">Table 2.1). </w:t>
      </w:r>
    </w:p>
    <w:p w14:paraId="0049F8AF" w14:textId="77777777" w:rsidR="00150F02" w:rsidRDefault="00150F02" w:rsidP="008D614B">
      <w:pPr>
        <w:rPr>
          <w:lang w:eastAsia="en-AU" w:bidi="ar-SA"/>
        </w:rPr>
      </w:pPr>
    </w:p>
    <w:p w14:paraId="07E50AD0" w14:textId="77777777" w:rsidR="00D02F7C" w:rsidRDefault="00D02F7C" w:rsidP="00150F02">
      <w:pPr>
        <w:pStyle w:val="FSCtblh2"/>
        <w:spacing w:before="0" w:after="0"/>
        <w:ind w:right="709"/>
        <w:jc w:val="both"/>
        <w:rPr>
          <w:sz w:val="22"/>
        </w:rPr>
      </w:pPr>
      <w:r w:rsidRPr="00DC5F0E">
        <w:rPr>
          <w:sz w:val="22"/>
        </w:rPr>
        <w:t>Table 2.1: Enzyme preparation compared to the JECFA and Food Chemicals Codex (FCC) enzyme specifications</w:t>
      </w:r>
    </w:p>
    <w:p w14:paraId="6A59D0B0" w14:textId="77777777" w:rsidR="00150F02" w:rsidRPr="00DC5F0E" w:rsidRDefault="00150F02" w:rsidP="00150F02">
      <w:pPr>
        <w:pStyle w:val="FSCtblh2"/>
        <w:spacing w:before="0" w:after="0"/>
        <w:ind w:right="-2"/>
        <w:jc w:val="both"/>
        <w:rPr>
          <w:sz w:val="22"/>
        </w:rPr>
      </w:pPr>
    </w:p>
    <w:tbl>
      <w:tblPr>
        <w:tblStyle w:val="TableGrid"/>
        <w:tblW w:w="8046" w:type="dxa"/>
        <w:tblInd w:w="392" w:type="dxa"/>
        <w:tblLook w:val="04A0" w:firstRow="1" w:lastRow="0" w:firstColumn="1" w:lastColumn="0" w:noHBand="0" w:noVBand="1"/>
      </w:tblPr>
      <w:tblGrid>
        <w:gridCol w:w="2276"/>
        <w:gridCol w:w="1923"/>
        <w:gridCol w:w="1923"/>
        <w:gridCol w:w="1924"/>
      </w:tblGrid>
      <w:tr w:rsidR="007C4D01" w14:paraId="7763B43A" w14:textId="77777777" w:rsidTr="00D02F7C">
        <w:trPr>
          <w:trHeight w:val="283"/>
        </w:trPr>
        <w:tc>
          <w:tcPr>
            <w:tcW w:w="2276" w:type="dxa"/>
            <w:vMerge w:val="restart"/>
            <w:shd w:val="clear" w:color="auto" w:fill="D9D9D9" w:themeFill="background1" w:themeFillShade="D9"/>
            <w:vAlign w:val="center"/>
          </w:tcPr>
          <w:p w14:paraId="52CC796A" w14:textId="77777777" w:rsidR="007C4D01" w:rsidRDefault="007C4D01" w:rsidP="00150F02">
            <w:pPr>
              <w:pStyle w:val="FSTableHeading"/>
              <w:ind w:right="-2"/>
              <w:rPr>
                <w:lang w:eastAsia="en-AU" w:bidi="ar-SA"/>
              </w:rPr>
            </w:pPr>
            <w:r>
              <w:rPr>
                <w:lang w:eastAsia="en-AU" w:bidi="ar-SA"/>
              </w:rPr>
              <w:t>Analysis</w:t>
            </w:r>
          </w:p>
        </w:tc>
        <w:tc>
          <w:tcPr>
            <w:tcW w:w="5770" w:type="dxa"/>
            <w:gridSpan w:val="3"/>
            <w:shd w:val="clear" w:color="auto" w:fill="D9D9D9" w:themeFill="background1" w:themeFillShade="D9"/>
            <w:vAlign w:val="center"/>
          </w:tcPr>
          <w:p w14:paraId="095AB1CD" w14:textId="77777777" w:rsidR="007C4D01" w:rsidRDefault="007C4D01" w:rsidP="00150F02">
            <w:pPr>
              <w:pStyle w:val="FSTableHeading"/>
              <w:ind w:right="-2"/>
              <w:rPr>
                <w:lang w:eastAsia="en-AU" w:bidi="ar-SA"/>
              </w:rPr>
            </w:pPr>
            <w:r>
              <w:rPr>
                <w:lang w:eastAsia="en-AU" w:bidi="ar-SA"/>
              </w:rPr>
              <w:t>Specifications</w:t>
            </w:r>
          </w:p>
        </w:tc>
      </w:tr>
      <w:tr w:rsidR="007C4D01" w14:paraId="3ACC7B11" w14:textId="77777777" w:rsidTr="00D02F7C">
        <w:trPr>
          <w:trHeight w:val="283"/>
        </w:trPr>
        <w:tc>
          <w:tcPr>
            <w:tcW w:w="2276" w:type="dxa"/>
            <w:vMerge/>
            <w:shd w:val="clear" w:color="auto" w:fill="D9D9D9" w:themeFill="background1" w:themeFillShade="D9"/>
          </w:tcPr>
          <w:p w14:paraId="4705FC19" w14:textId="77777777" w:rsidR="007C4D01" w:rsidRDefault="007C4D01" w:rsidP="00150F02">
            <w:pPr>
              <w:pStyle w:val="FSTableTitle"/>
              <w:ind w:right="-2"/>
              <w:rPr>
                <w:lang w:eastAsia="en-AU" w:bidi="ar-SA"/>
              </w:rPr>
            </w:pPr>
          </w:p>
        </w:tc>
        <w:tc>
          <w:tcPr>
            <w:tcW w:w="1923" w:type="dxa"/>
            <w:shd w:val="clear" w:color="auto" w:fill="D9D9D9" w:themeFill="background1" w:themeFillShade="D9"/>
            <w:vAlign w:val="center"/>
          </w:tcPr>
          <w:p w14:paraId="4BA51BA1" w14:textId="77777777" w:rsidR="007C4D01" w:rsidRDefault="007C4D01" w:rsidP="00150F02">
            <w:pPr>
              <w:pStyle w:val="FSTableHeading"/>
              <w:ind w:right="-2"/>
              <w:rPr>
                <w:lang w:eastAsia="en-AU" w:bidi="ar-SA"/>
              </w:rPr>
            </w:pPr>
            <w:r>
              <w:rPr>
                <w:lang w:eastAsia="en-AU" w:bidi="ar-SA"/>
              </w:rPr>
              <w:t>Product</w:t>
            </w:r>
          </w:p>
        </w:tc>
        <w:tc>
          <w:tcPr>
            <w:tcW w:w="1923" w:type="dxa"/>
            <w:shd w:val="clear" w:color="auto" w:fill="D9D9D9" w:themeFill="background1" w:themeFillShade="D9"/>
            <w:vAlign w:val="center"/>
          </w:tcPr>
          <w:p w14:paraId="1821D372" w14:textId="77777777" w:rsidR="007C4D01" w:rsidRDefault="007C4D01" w:rsidP="00150F02">
            <w:pPr>
              <w:pStyle w:val="FSTableHeading"/>
              <w:ind w:right="-2"/>
              <w:rPr>
                <w:lang w:eastAsia="en-AU" w:bidi="ar-SA"/>
              </w:rPr>
            </w:pPr>
            <w:r>
              <w:rPr>
                <w:lang w:eastAsia="en-AU" w:bidi="ar-SA"/>
              </w:rPr>
              <w:t>JECFA</w:t>
            </w:r>
          </w:p>
        </w:tc>
        <w:tc>
          <w:tcPr>
            <w:tcW w:w="1924" w:type="dxa"/>
            <w:shd w:val="clear" w:color="auto" w:fill="D9D9D9" w:themeFill="background1" w:themeFillShade="D9"/>
            <w:vAlign w:val="center"/>
          </w:tcPr>
          <w:p w14:paraId="64B97BBA" w14:textId="77777777" w:rsidR="007C4D01" w:rsidRDefault="007C4D01" w:rsidP="00150F02">
            <w:pPr>
              <w:pStyle w:val="FSTableHeading"/>
              <w:ind w:right="-2"/>
              <w:rPr>
                <w:lang w:eastAsia="en-AU" w:bidi="ar-SA"/>
              </w:rPr>
            </w:pPr>
            <w:r>
              <w:rPr>
                <w:lang w:eastAsia="en-AU" w:bidi="ar-SA"/>
              </w:rPr>
              <w:t>FCC</w:t>
            </w:r>
          </w:p>
        </w:tc>
      </w:tr>
      <w:tr w:rsidR="007C4D01" w14:paraId="751ACDEA" w14:textId="77777777" w:rsidTr="00D02F7C">
        <w:trPr>
          <w:trHeight w:val="283"/>
        </w:trPr>
        <w:tc>
          <w:tcPr>
            <w:tcW w:w="2276" w:type="dxa"/>
            <w:vAlign w:val="center"/>
          </w:tcPr>
          <w:p w14:paraId="519A159D" w14:textId="77777777" w:rsidR="007C4D01" w:rsidRDefault="007C4D01" w:rsidP="00150F02">
            <w:pPr>
              <w:pStyle w:val="FSTableText"/>
              <w:ind w:right="-2"/>
              <w:rPr>
                <w:lang w:eastAsia="en-AU" w:bidi="ar-SA"/>
              </w:rPr>
            </w:pPr>
            <w:r>
              <w:rPr>
                <w:lang w:eastAsia="en-AU" w:bidi="ar-SA"/>
              </w:rPr>
              <w:t>Lead (mg/kg)</w:t>
            </w:r>
          </w:p>
        </w:tc>
        <w:tc>
          <w:tcPr>
            <w:tcW w:w="1923" w:type="dxa"/>
            <w:vAlign w:val="center"/>
          </w:tcPr>
          <w:p w14:paraId="1F3C0B18" w14:textId="0401102C" w:rsidR="007C4D01" w:rsidRDefault="00D02F7C" w:rsidP="00150F02">
            <w:pPr>
              <w:pStyle w:val="FSTableText"/>
              <w:ind w:right="-2"/>
              <w:jc w:val="center"/>
              <w:rPr>
                <w:lang w:eastAsia="en-AU" w:bidi="ar-SA"/>
              </w:rPr>
            </w:pPr>
            <w:r>
              <w:rPr>
                <w:lang w:eastAsia="en-AU" w:bidi="ar-SA"/>
              </w:rPr>
              <w:t>ND</w:t>
            </w:r>
            <w:r w:rsidR="00227767" w:rsidRPr="00227767">
              <w:rPr>
                <w:vertAlign w:val="superscript"/>
                <w:lang w:eastAsia="en-AU" w:bidi="ar-SA"/>
              </w:rPr>
              <w:t>†</w:t>
            </w:r>
          </w:p>
        </w:tc>
        <w:tc>
          <w:tcPr>
            <w:tcW w:w="1923" w:type="dxa"/>
            <w:vAlign w:val="center"/>
          </w:tcPr>
          <w:p w14:paraId="5D825023" w14:textId="77777777" w:rsidR="007C4D01" w:rsidRDefault="007C4D01" w:rsidP="00150F02">
            <w:pPr>
              <w:pStyle w:val="FSTableText"/>
              <w:ind w:right="-2"/>
              <w:jc w:val="center"/>
              <w:rPr>
                <w:lang w:eastAsia="en-AU" w:bidi="ar-SA"/>
              </w:rPr>
            </w:pPr>
            <w:r>
              <w:rPr>
                <w:lang w:eastAsia="en-AU" w:bidi="ar-SA"/>
              </w:rPr>
              <w:t>≤5</w:t>
            </w:r>
          </w:p>
        </w:tc>
        <w:tc>
          <w:tcPr>
            <w:tcW w:w="1924" w:type="dxa"/>
            <w:vAlign w:val="center"/>
          </w:tcPr>
          <w:p w14:paraId="6B49464C" w14:textId="77777777" w:rsidR="007C4D01" w:rsidRDefault="007C4D01" w:rsidP="00150F02">
            <w:pPr>
              <w:pStyle w:val="FSTableText"/>
              <w:ind w:right="-2"/>
              <w:jc w:val="center"/>
              <w:rPr>
                <w:lang w:eastAsia="en-AU" w:bidi="ar-SA"/>
              </w:rPr>
            </w:pPr>
            <w:r>
              <w:rPr>
                <w:lang w:eastAsia="en-AU" w:bidi="ar-SA"/>
              </w:rPr>
              <w:t>≤5</w:t>
            </w:r>
          </w:p>
        </w:tc>
      </w:tr>
      <w:tr w:rsidR="007C4D01" w14:paraId="39CC8301" w14:textId="77777777" w:rsidTr="00D02F7C">
        <w:trPr>
          <w:trHeight w:val="283"/>
        </w:trPr>
        <w:tc>
          <w:tcPr>
            <w:tcW w:w="2276" w:type="dxa"/>
            <w:vAlign w:val="center"/>
          </w:tcPr>
          <w:p w14:paraId="205A7109" w14:textId="77777777" w:rsidR="007C4D01" w:rsidRDefault="007C4D01" w:rsidP="00150F02">
            <w:pPr>
              <w:pStyle w:val="FSTableText"/>
              <w:ind w:right="-2"/>
              <w:rPr>
                <w:lang w:eastAsia="en-AU" w:bidi="ar-SA"/>
              </w:rPr>
            </w:pPr>
            <w:r>
              <w:rPr>
                <w:lang w:eastAsia="en-AU" w:bidi="ar-SA"/>
              </w:rPr>
              <w:t>Coliforms (cfu/g)</w:t>
            </w:r>
          </w:p>
        </w:tc>
        <w:tc>
          <w:tcPr>
            <w:tcW w:w="1923" w:type="dxa"/>
            <w:vAlign w:val="center"/>
          </w:tcPr>
          <w:p w14:paraId="48AF36D1" w14:textId="77777777" w:rsidR="007C4D01" w:rsidRDefault="007C4D01" w:rsidP="00150F02">
            <w:pPr>
              <w:pStyle w:val="FSTableText"/>
              <w:ind w:right="-2"/>
              <w:jc w:val="center"/>
              <w:rPr>
                <w:lang w:eastAsia="en-AU" w:bidi="ar-SA"/>
              </w:rPr>
            </w:pPr>
            <w:r>
              <w:rPr>
                <w:lang w:eastAsia="en-AU" w:bidi="ar-SA"/>
              </w:rPr>
              <w:t>≤10</w:t>
            </w:r>
          </w:p>
        </w:tc>
        <w:tc>
          <w:tcPr>
            <w:tcW w:w="1923" w:type="dxa"/>
            <w:vAlign w:val="center"/>
          </w:tcPr>
          <w:p w14:paraId="04D6D3E2" w14:textId="77777777" w:rsidR="007C4D01" w:rsidRDefault="007C4D01" w:rsidP="00150F02">
            <w:pPr>
              <w:pStyle w:val="FSTableText"/>
              <w:ind w:right="-2"/>
              <w:jc w:val="center"/>
              <w:rPr>
                <w:lang w:eastAsia="en-AU" w:bidi="ar-SA"/>
              </w:rPr>
            </w:pPr>
            <w:r w:rsidRPr="0063033E">
              <w:rPr>
                <w:lang w:eastAsia="en-AU" w:bidi="ar-SA"/>
              </w:rPr>
              <w:t>≤30</w:t>
            </w:r>
          </w:p>
        </w:tc>
        <w:tc>
          <w:tcPr>
            <w:tcW w:w="1924" w:type="dxa"/>
            <w:vAlign w:val="center"/>
          </w:tcPr>
          <w:p w14:paraId="408B446B" w14:textId="77777777" w:rsidR="007C4D01" w:rsidRDefault="007C4D01" w:rsidP="00150F02">
            <w:pPr>
              <w:pStyle w:val="FSTableText"/>
              <w:ind w:right="-2"/>
              <w:jc w:val="center"/>
              <w:rPr>
                <w:lang w:eastAsia="en-AU" w:bidi="ar-SA"/>
              </w:rPr>
            </w:pPr>
            <w:r w:rsidRPr="0063033E">
              <w:rPr>
                <w:lang w:eastAsia="en-AU" w:bidi="ar-SA"/>
              </w:rPr>
              <w:t>≤30</w:t>
            </w:r>
          </w:p>
        </w:tc>
      </w:tr>
      <w:tr w:rsidR="007C4D01" w14:paraId="631946F9" w14:textId="77777777" w:rsidTr="00D02F7C">
        <w:trPr>
          <w:trHeight w:val="283"/>
        </w:trPr>
        <w:tc>
          <w:tcPr>
            <w:tcW w:w="2276" w:type="dxa"/>
            <w:vAlign w:val="center"/>
          </w:tcPr>
          <w:p w14:paraId="75CA97CC" w14:textId="4153EEF3" w:rsidR="007C4D01" w:rsidRPr="006A0A0C" w:rsidRDefault="007C4D01" w:rsidP="00150F02">
            <w:pPr>
              <w:pStyle w:val="FSTableText"/>
              <w:ind w:right="-2"/>
              <w:rPr>
                <w:i/>
                <w:lang w:eastAsia="en-AU" w:bidi="ar-SA"/>
              </w:rPr>
            </w:pPr>
            <w:r w:rsidRPr="006A0A0C">
              <w:rPr>
                <w:i/>
                <w:lang w:eastAsia="en-AU" w:bidi="ar-SA"/>
              </w:rPr>
              <w:t>E. coli</w:t>
            </w:r>
            <w:r w:rsidRPr="007C4D01">
              <w:rPr>
                <w:lang w:eastAsia="en-AU" w:bidi="ar-SA"/>
              </w:rPr>
              <w:t xml:space="preserve"> (in 25 g)</w:t>
            </w:r>
          </w:p>
        </w:tc>
        <w:tc>
          <w:tcPr>
            <w:tcW w:w="1923" w:type="dxa"/>
            <w:vAlign w:val="center"/>
          </w:tcPr>
          <w:p w14:paraId="782E7686" w14:textId="7E60D20E" w:rsidR="007C4D01" w:rsidRDefault="00D02F7C" w:rsidP="00150F02">
            <w:pPr>
              <w:pStyle w:val="FSTableText"/>
              <w:ind w:right="-2"/>
              <w:jc w:val="center"/>
              <w:rPr>
                <w:lang w:eastAsia="en-AU" w:bidi="ar-SA"/>
              </w:rPr>
            </w:pPr>
            <w:r>
              <w:rPr>
                <w:lang w:eastAsia="en-AU" w:bidi="ar-SA"/>
              </w:rPr>
              <w:t>ND</w:t>
            </w:r>
          </w:p>
        </w:tc>
        <w:tc>
          <w:tcPr>
            <w:tcW w:w="1923" w:type="dxa"/>
            <w:vAlign w:val="center"/>
          </w:tcPr>
          <w:p w14:paraId="2985F7D4" w14:textId="5FE3A316" w:rsidR="007C4D01" w:rsidRDefault="007C4D01" w:rsidP="00150F02">
            <w:pPr>
              <w:pStyle w:val="FSTableText"/>
              <w:ind w:right="-2"/>
              <w:jc w:val="center"/>
              <w:rPr>
                <w:lang w:eastAsia="en-AU" w:bidi="ar-SA"/>
              </w:rPr>
            </w:pPr>
            <w:r>
              <w:rPr>
                <w:lang w:eastAsia="en-AU" w:bidi="ar-SA"/>
              </w:rPr>
              <w:t>ND</w:t>
            </w:r>
          </w:p>
        </w:tc>
        <w:tc>
          <w:tcPr>
            <w:tcW w:w="1924" w:type="dxa"/>
            <w:vAlign w:val="center"/>
          </w:tcPr>
          <w:p w14:paraId="13815151" w14:textId="77777777" w:rsidR="007C4D01" w:rsidRDefault="007C4D01" w:rsidP="00150F02">
            <w:pPr>
              <w:pStyle w:val="FSTableText"/>
              <w:ind w:right="-2"/>
              <w:jc w:val="center"/>
              <w:rPr>
                <w:lang w:eastAsia="en-AU" w:bidi="ar-SA"/>
              </w:rPr>
            </w:pPr>
          </w:p>
        </w:tc>
      </w:tr>
      <w:tr w:rsidR="007C4D01" w14:paraId="10002D07" w14:textId="77777777" w:rsidTr="00D02F7C">
        <w:trPr>
          <w:trHeight w:val="283"/>
        </w:trPr>
        <w:tc>
          <w:tcPr>
            <w:tcW w:w="2276" w:type="dxa"/>
            <w:vAlign w:val="center"/>
          </w:tcPr>
          <w:p w14:paraId="5BC4A149" w14:textId="77777777" w:rsidR="007C4D01" w:rsidRDefault="007C4D01" w:rsidP="00150F02">
            <w:pPr>
              <w:pStyle w:val="FSTableText"/>
              <w:ind w:right="-2"/>
              <w:rPr>
                <w:lang w:eastAsia="en-AU" w:bidi="ar-SA"/>
              </w:rPr>
            </w:pPr>
            <w:r w:rsidRPr="006A0A0C">
              <w:rPr>
                <w:i/>
                <w:lang w:eastAsia="en-AU" w:bidi="ar-SA"/>
              </w:rPr>
              <w:t>Salmonella</w:t>
            </w:r>
            <w:r>
              <w:rPr>
                <w:lang w:eastAsia="en-AU" w:bidi="ar-SA"/>
              </w:rPr>
              <w:t xml:space="preserve"> (in 25 g)</w:t>
            </w:r>
          </w:p>
        </w:tc>
        <w:tc>
          <w:tcPr>
            <w:tcW w:w="1923" w:type="dxa"/>
            <w:vAlign w:val="center"/>
          </w:tcPr>
          <w:p w14:paraId="216C5DC4" w14:textId="77777777" w:rsidR="007C4D01" w:rsidRDefault="007C4D01" w:rsidP="00150F02">
            <w:pPr>
              <w:pStyle w:val="FSTableText"/>
              <w:ind w:right="-2"/>
              <w:jc w:val="center"/>
              <w:rPr>
                <w:lang w:eastAsia="en-AU" w:bidi="ar-SA"/>
              </w:rPr>
            </w:pPr>
            <w:r>
              <w:rPr>
                <w:lang w:eastAsia="en-AU" w:bidi="ar-SA"/>
              </w:rPr>
              <w:t>ND</w:t>
            </w:r>
          </w:p>
        </w:tc>
        <w:tc>
          <w:tcPr>
            <w:tcW w:w="1923" w:type="dxa"/>
            <w:vAlign w:val="center"/>
          </w:tcPr>
          <w:p w14:paraId="5555DF6D" w14:textId="77777777" w:rsidR="007C4D01" w:rsidRDefault="007C4D01" w:rsidP="00150F02">
            <w:pPr>
              <w:pStyle w:val="FSTableText"/>
              <w:ind w:right="-2"/>
              <w:jc w:val="center"/>
              <w:rPr>
                <w:lang w:eastAsia="en-AU" w:bidi="ar-SA"/>
              </w:rPr>
            </w:pPr>
            <w:r>
              <w:rPr>
                <w:lang w:eastAsia="en-AU" w:bidi="ar-SA"/>
              </w:rPr>
              <w:t>ND</w:t>
            </w:r>
          </w:p>
        </w:tc>
        <w:tc>
          <w:tcPr>
            <w:tcW w:w="1924" w:type="dxa"/>
            <w:vAlign w:val="center"/>
          </w:tcPr>
          <w:p w14:paraId="5A692D6A" w14:textId="77777777" w:rsidR="007C4D01" w:rsidRDefault="007C4D01" w:rsidP="00150F02">
            <w:pPr>
              <w:pStyle w:val="FSTableText"/>
              <w:ind w:right="-2"/>
              <w:jc w:val="center"/>
              <w:rPr>
                <w:lang w:eastAsia="en-AU" w:bidi="ar-SA"/>
              </w:rPr>
            </w:pPr>
            <w:r>
              <w:rPr>
                <w:lang w:eastAsia="en-AU" w:bidi="ar-SA"/>
              </w:rPr>
              <w:t>ND</w:t>
            </w:r>
          </w:p>
        </w:tc>
      </w:tr>
      <w:tr w:rsidR="007C4D01" w14:paraId="251C14BA" w14:textId="77777777" w:rsidTr="00D02F7C">
        <w:trPr>
          <w:trHeight w:val="283"/>
        </w:trPr>
        <w:tc>
          <w:tcPr>
            <w:tcW w:w="2276" w:type="dxa"/>
            <w:vAlign w:val="center"/>
          </w:tcPr>
          <w:p w14:paraId="71CC2022" w14:textId="77777777" w:rsidR="007C4D01" w:rsidRDefault="007C4D01" w:rsidP="00150F02">
            <w:pPr>
              <w:pStyle w:val="FSTableText"/>
              <w:ind w:right="-2"/>
              <w:rPr>
                <w:lang w:eastAsia="en-AU" w:bidi="ar-SA"/>
              </w:rPr>
            </w:pPr>
            <w:r>
              <w:rPr>
                <w:lang w:eastAsia="en-AU" w:bidi="ar-SA"/>
              </w:rPr>
              <w:t>Antibiotic activity</w:t>
            </w:r>
          </w:p>
        </w:tc>
        <w:tc>
          <w:tcPr>
            <w:tcW w:w="1923" w:type="dxa"/>
            <w:vAlign w:val="center"/>
          </w:tcPr>
          <w:p w14:paraId="3EF9BA34" w14:textId="77777777" w:rsidR="007C4D01" w:rsidRDefault="007C4D01" w:rsidP="00150F02">
            <w:pPr>
              <w:pStyle w:val="FSTableText"/>
              <w:ind w:right="-2"/>
              <w:jc w:val="center"/>
              <w:rPr>
                <w:lang w:eastAsia="en-AU" w:bidi="ar-SA"/>
              </w:rPr>
            </w:pPr>
            <w:r>
              <w:rPr>
                <w:lang w:eastAsia="en-AU" w:bidi="ar-SA"/>
              </w:rPr>
              <w:t>ND</w:t>
            </w:r>
          </w:p>
        </w:tc>
        <w:tc>
          <w:tcPr>
            <w:tcW w:w="1923" w:type="dxa"/>
            <w:vAlign w:val="center"/>
          </w:tcPr>
          <w:p w14:paraId="0D692E7E" w14:textId="77777777" w:rsidR="007C4D01" w:rsidRDefault="007C4D01" w:rsidP="00150F02">
            <w:pPr>
              <w:pStyle w:val="FSTableText"/>
              <w:ind w:right="-2"/>
              <w:jc w:val="center"/>
              <w:rPr>
                <w:lang w:eastAsia="en-AU" w:bidi="ar-SA"/>
              </w:rPr>
            </w:pPr>
            <w:r>
              <w:rPr>
                <w:lang w:eastAsia="en-AU" w:bidi="ar-SA"/>
              </w:rPr>
              <w:t>ND</w:t>
            </w:r>
          </w:p>
        </w:tc>
        <w:tc>
          <w:tcPr>
            <w:tcW w:w="1924" w:type="dxa"/>
            <w:vAlign w:val="center"/>
          </w:tcPr>
          <w:p w14:paraId="172943D6" w14:textId="77777777" w:rsidR="007C4D01" w:rsidRDefault="007C4D01" w:rsidP="00150F02">
            <w:pPr>
              <w:pStyle w:val="FSTableText"/>
              <w:ind w:right="-2"/>
              <w:jc w:val="center"/>
              <w:rPr>
                <w:lang w:eastAsia="en-AU" w:bidi="ar-SA"/>
              </w:rPr>
            </w:pPr>
          </w:p>
        </w:tc>
      </w:tr>
    </w:tbl>
    <w:p w14:paraId="4900588C" w14:textId="5CA81E8F" w:rsidR="00F0577C" w:rsidRPr="00F0577C" w:rsidRDefault="00227767" w:rsidP="00150F02">
      <w:pPr>
        <w:spacing w:before="60"/>
        <w:ind w:right="-2" w:firstLine="567"/>
        <w:jc w:val="both"/>
        <w:rPr>
          <w:lang w:eastAsia="en-AU" w:bidi="ar-SA"/>
        </w:rPr>
      </w:pPr>
      <w:r w:rsidRPr="00227767">
        <w:rPr>
          <w:rFonts w:cs="Arial"/>
          <w:sz w:val="18"/>
          <w:lang w:eastAsia="en-AU" w:bidi="ar-SA"/>
        </w:rPr>
        <w:t>†</w:t>
      </w:r>
      <w:r w:rsidRPr="00227767">
        <w:rPr>
          <w:sz w:val="18"/>
          <w:lang w:eastAsia="en-AU" w:bidi="ar-SA"/>
        </w:rPr>
        <w:t xml:space="preserve"> ND: not detected</w:t>
      </w:r>
    </w:p>
    <w:p w14:paraId="33592181" w14:textId="77777777" w:rsidR="00337FF5" w:rsidRDefault="00337FF5" w:rsidP="00337FF5">
      <w:pPr>
        <w:pStyle w:val="Heading2"/>
        <w:rPr>
          <w:lang w:eastAsia="en-AU"/>
        </w:rPr>
      </w:pPr>
      <w:bookmarkStart w:id="15" w:name="_Toc473540353"/>
      <w:r>
        <w:rPr>
          <w:lang w:eastAsia="en-AU"/>
        </w:rPr>
        <w:t>2.4</w:t>
      </w:r>
      <w:r>
        <w:rPr>
          <w:lang w:eastAsia="en-AU"/>
        </w:rPr>
        <w:tab/>
        <w:t>Technological function</w:t>
      </w:r>
      <w:bookmarkEnd w:id="15"/>
    </w:p>
    <w:p w14:paraId="326FEEFA" w14:textId="3EAEF1BE" w:rsidR="0025281A" w:rsidRPr="00F0577C" w:rsidRDefault="005E3BA3" w:rsidP="008D614B">
      <w:pPr>
        <w:rPr>
          <w:lang w:eastAsia="en-AU" w:bidi="ar-SA"/>
        </w:rPr>
      </w:pPr>
      <w:r w:rsidRPr="00F0577C">
        <w:rPr>
          <w:lang w:eastAsia="en-AU" w:bidi="ar-SA"/>
        </w:rPr>
        <w:t xml:space="preserve">Milk and milk products contain lactose, to which some consumers are intolerant. The </w:t>
      </w:r>
      <w:r w:rsidR="00336100">
        <w:rPr>
          <w:lang w:eastAsia="en-AU" w:bidi="ar-SA"/>
        </w:rPr>
        <w:t>amount</w:t>
      </w:r>
      <w:r w:rsidR="00336100" w:rsidRPr="00F0577C">
        <w:rPr>
          <w:lang w:eastAsia="en-AU" w:bidi="ar-SA"/>
        </w:rPr>
        <w:t xml:space="preserve"> </w:t>
      </w:r>
      <w:r w:rsidRPr="00F0577C">
        <w:rPr>
          <w:lang w:eastAsia="en-AU" w:bidi="ar-SA"/>
        </w:rPr>
        <w:t xml:space="preserve">of lactose </w:t>
      </w:r>
      <w:r w:rsidR="00CE3E3B">
        <w:rPr>
          <w:lang w:eastAsia="en-AU" w:bidi="ar-SA"/>
        </w:rPr>
        <w:t xml:space="preserve">in a food </w:t>
      </w:r>
      <w:r w:rsidR="00EF5588">
        <w:rPr>
          <w:lang w:eastAsia="en-AU" w:bidi="ar-SA"/>
        </w:rPr>
        <w:t>may be reduced</w:t>
      </w:r>
      <w:r w:rsidRPr="00F0577C">
        <w:rPr>
          <w:lang w:eastAsia="en-AU" w:bidi="ar-SA"/>
        </w:rPr>
        <w:t xml:space="preserve"> by </w:t>
      </w:r>
      <w:r w:rsidR="00336100">
        <w:rPr>
          <w:lang w:eastAsia="en-AU" w:bidi="ar-SA"/>
        </w:rPr>
        <w:t>hydrolysis</w:t>
      </w:r>
      <w:r w:rsidR="0099661E" w:rsidRPr="00F0577C">
        <w:rPr>
          <w:lang w:eastAsia="en-AU" w:bidi="ar-SA"/>
        </w:rPr>
        <w:t xml:space="preserve">, </w:t>
      </w:r>
      <w:r w:rsidR="00336100">
        <w:rPr>
          <w:lang w:eastAsia="en-AU" w:bidi="ar-SA"/>
        </w:rPr>
        <w:t>the products of which are</w:t>
      </w:r>
      <w:r w:rsidRPr="00F0577C">
        <w:rPr>
          <w:lang w:eastAsia="en-AU" w:bidi="ar-SA"/>
        </w:rPr>
        <w:t xml:space="preserve"> glucose and galactose.</w:t>
      </w:r>
      <w:r w:rsidR="0099661E" w:rsidRPr="00F0577C">
        <w:rPr>
          <w:lang w:eastAsia="en-AU" w:bidi="ar-SA"/>
        </w:rPr>
        <w:t xml:space="preserve"> </w:t>
      </w:r>
      <w:r w:rsidR="001C1668">
        <w:rPr>
          <w:lang w:eastAsia="en-AU" w:bidi="ar-SA"/>
        </w:rPr>
        <w:t>H</w:t>
      </w:r>
      <w:r w:rsidRPr="00F0577C">
        <w:rPr>
          <w:lang w:eastAsia="en-AU" w:bidi="ar-SA"/>
        </w:rPr>
        <w:t>ydro</w:t>
      </w:r>
      <w:r w:rsidR="0099661E" w:rsidRPr="00F0577C">
        <w:rPr>
          <w:lang w:eastAsia="en-AU" w:bidi="ar-SA"/>
        </w:rPr>
        <w:t xml:space="preserve">lysis </w:t>
      </w:r>
      <w:r w:rsidR="001C1668">
        <w:rPr>
          <w:lang w:eastAsia="en-AU" w:bidi="ar-SA"/>
        </w:rPr>
        <w:t>can be</w:t>
      </w:r>
      <w:r w:rsidR="0099661E" w:rsidRPr="00F0577C">
        <w:rPr>
          <w:lang w:eastAsia="en-AU" w:bidi="ar-SA"/>
        </w:rPr>
        <w:t xml:space="preserve"> </w:t>
      </w:r>
      <w:r w:rsidR="001C1668">
        <w:rPr>
          <w:lang w:eastAsia="en-AU" w:bidi="ar-SA"/>
        </w:rPr>
        <w:t>achieved</w:t>
      </w:r>
      <w:r w:rsidR="0099661E" w:rsidRPr="00F0577C">
        <w:rPr>
          <w:lang w:eastAsia="en-AU" w:bidi="ar-SA"/>
        </w:rPr>
        <w:t xml:space="preserve"> </w:t>
      </w:r>
      <w:r w:rsidRPr="00F0577C">
        <w:rPr>
          <w:lang w:eastAsia="en-AU" w:bidi="ar-SA"/>
        </w:rPr>
        <w:t>using acids</w:t>
      </w:r>
      <w:r w:rsidR="001C1668">
        <w:rPr>
          <w:lang w:eastAsia="en-AU" w:bidi="ar-SA"/>
        </w:rPr>
        <w:t xml:space="preserve"> </w:t>
      </w:r>
      <w:r w:rsidRPr="00F0577C">
        <w:rPr>
          <w:lang w:eastAsia="en-AU" w:bidi="ar-SA"/>
        </w:rPr>
        <w:t xml:space="preserve">or </w:t>
      </w:r>
      <w:r w:rsidR="00336100">
        <w:rPr>
          <w:lang w:eastAsia="en-AU" w:bidi="ar-SA"/>
        </w:rPr>
        <w:t xml:space="preserve">by </w:t>
      </w:r>
      <w:r w:rsidRPr="00F0577C">
        <w:rPr>
          <w:lang w:eastAsia="en-AU" w:bidi="ar-SA"/>
        </w:rPr>
        <w:t>enzym</w:t>
      </w:r>
      <w:r w:rsidR="001C1668">
        <w:rPr>
          <w:lang w:eastAsia="en-AU" w:bidi="ar-SA"/>
        </w:rPr>
        <w:t>atic digestion</w:t>
      </w:r>
      <w:r w:rsidRPr="00F0577C">
        <w:rPr>
          <w:lang w:eastAsia="en-AU" w:bidi="ar-SA"/>
        </w:rPr>
        <w:t xml:space="preserve"> </w:t>
      </w:r>
      <w:r w:rsidR="00E56924">
        <w:rPr>
          <w:lang w:eastAsia="en-AU" w:bidi="ar-SA"/>
        </w:rPr>
        <w:t xml:space="preserve">with the enzyme </w:t>
      </w:r>
      <w:r w:rsidRPr="00F0577C">
        <w:rPr>
          <w:lang w:eastAsia="en-AU" w:bidi="ar-SA"/>
        </w:rPr>
        <w:t>lactase.</w:t>
      </w:r>
      <w:r w:rsidR="0025281A" w:rsidRPr="00F0577C">
        <w:rPr>
          <w:lang w:eastAsia="en-AU" w:bidi="ar-SA"/>
        </w:rPr>
        <w:t xml:space="preserve"> </w:t>
      </w:r>
      <w:r w:rsidR="001C1668" w:rsidRPr="00F0577C">
        <w:rPr>
          <w:lang w:eastAsia="en-AU" w:bidi="ar-SA"/>
        </w:rPr>
        <w:t>Generally the use of lactase is a simpler process</w:t>
      </w:r>
      <w:r w:rsidR="001C1668">
        <w:rPr>
          <w:lang w:eastAsia="en-AU" w:bidi="ar-SA"/>
        </w:rPr>
        <w:t xml:space="preserve"> </w:t>
      </w:r>
      <w:r w:rsidR="001C1668" w:rsidRPr="00F0577C">
        <w:rPr>
          <w:lang w:eastAsia="en-AU" w:bidi="ar-SA"/>
        </w:rPr>
        <w:t xml:space="preserve">and it is commonly used </w:t>
      </w:r>
      <w:r w:rsidR="001C1668">
        <w:rPr>
          <w:lang w:eastAsia="en-AU" w:bidi="ar-SA"/>
        </w:rPr>
        <w:t xml:space="preserve">in food manufacturing </w:t>
      </w:r>
      <w:r w:rsidR="001C1668" w:rsidRPr="00F0577C">
        <w:rPr>
          <w:lang w:eastAsia="en-AU" w:bidi="ar-SA"/>
        </w:rPr>
        <w:t>for lactose reduction.</w:t>
      </w:r>
      <w:r w:rsidR="001C1668">
        <w:rPr>
          <w:lang w:eastAsia="en-AU" w:bidi="ar-SA"/>
        </w:rPr>
        <w:t xml:space="preserve"> </w:t>
      </w:r>
      <w:r w:rsidR="0025281A" w:rsidRPr="00F0577C">
        <w:rPr>
          <w:lang w:eastAsia="en-AU" w:bidi="ar-SA"/>
        </w:rPr>
        <w:t>The lactose-free or lactose-reduced products may be milks or milk products used as ingredients in other foods.</w:t>
      </w:r>
      <w:r w:rsidR="001C1668">
        <w:rPr>
          <w:lang w:eastAsia="en-AU" w:bidi="ar-SA"/>
        </w:rPr>
        <w:t xml:space="preserve"> </w:t>
      </w:r>
    </w:p>
    <w:p w14:paraId="44701823" w14:textId="77777777" w:rsidR="0025281A" w:rsidRPr="00F0577C" w:rsidRDefault="0025281A" w:rsidP="008D614B">
      <w:pPr>
        <w:rPr>
          <w:lang w:eastAsia="en-AU" w:bidi="ar-SA"/>
        </w:rPr>
      </w:pPr>
    </w:p>
    <w:p w14:paraId="632A9B59" w14:textId="77777777" w:rsidR="00A727F0" w:rsidRDefault="00E56924" w:rsidP="008D614B">
      <w:pPr>
        <w:rPr>
          <w:lang w:eastAsia="en-AU" w:bidi="ar-SA"/>
        </w:rPr>
      </w:pPr>
      <w:r>
        <w:rPr>
          <w:lang w:eastAsia="en-AU" w:bidi="ar-SA"/>
        </w:rPr>
        <w:t>Commercial preparations of l</w:t>
      </w:r>
      <w:r w:rsidR="0025281A" w:rsidRPr="00F0577C">
        <w:rPr>
          <w:lang w:eastAsia="en-AU" w:bidi="ar-SA"/>
        </w:rPr>
        <w:t xml:space="preserve">actase </w:t>
      </w:r>
      <w:r>
        <w:rPr>
          <w:lang w:eastAsia="en-AU" w:bidi="ar-SA"/>
        </w:rPr>
        <w:t>have been</w:t>
      </w:r>
      <w:r w:rsidR="0025281A" w:rsidRPr="00F0577C">
        <w:rPr>
          <w:lang w:eastAsia="en-AU" w:bidi="ar-SA"/>
        </w:rPr>
        <w:t xml:space="preserve"> derived from a number of source</w:t>
      </w:r>
      <w:r w:rsidR="00A727F0">
        <w:rPr>
          <w:lang w:eastAsia="en-AU" w:bidi="ar-SA"/>
        </w:rPr>
        <w:t>s, including bacteria and yeast</w:t>
      </w:r>
      <w:r w:rsidR="0025281A" w:rsidRPr="00F0577C">
        <w:rPr>
          <w:lang w:eastAsia="en-AU" w:bidi="ar-SA"/>
        </w:rPr>
        <w:t xml:space="preserve">. </w:t>
      </w:r>
      <w:r w:rsidR="0099661E" w:rsidRPr="00F0577C">
        <w:rPr>
          <w:lang w:eastAsia="en-AU" w:bidi="ar-SA"/>
        </w:rPr>
        <w:t>The</w:t>
      </w:r>
      <w:r w:rsidR="0025281A" w:rsidRPr="00F0577C">
        <w:rPr>
          <w:lang w:eastAsia="en-AU" w:bidi="ar-SA"/>
        </w:rPr>
        <w:t xml:space="preserve"> Applicant claims that their lactase is superior to t</w:t>
      </w:r>
      <w:r w:rsidR="0099661E" w:rsidRPr="00F0577C">
        <w:rPr>
          <w:lang w:eastAsia="en-AU" w:bidi="ar-SA"/>
        </w:rPr>
        <w:t>he</w:t>
      </w:r>
      <w:r w:rsidR="00A727F0">
        <w:rPr>
          <w:lang w:eastAsia="en-AU" w:bidi="ar-SA"/>
        </w:rPr>
        <w:t>se other preparations,</w:t>
      </w:r>
      <w:r w:rsidR="0099661E" w:rsidRPr="00F0577C">
        <w:rPr>
          <w:lang w:eastAsia="en-AU" w:bidi="ar-SA"/>
        </w:rPr>
        <w:t xml:space="preserve"> </w:t>
      </w:r>
      <w:r w:rsidR="00A727F0">
        <w:rPr>
          <w:lang w:eastAsia="en-AU" w:bidi="ar-SA"/>
        </w:rPr>
        <w:t>especially</w:t>
      </w:r>
      <w:r w:rsidR="0099661E" w:rsidRPr="00F0577C">
        <w:rPr>
          <w:lang w:eastAsia="en-AU" w:bidi="ar-SA"/>
        </w:rPr>
        <w:t xml:space="preserve"> yeast-based lacta</w:t>
      </w:r>
      <w:r w:rsidR="0025281A" w:rsidRPr="00F0577C">
        <w:rPr>
          <w:lang w:eastAsia="en-AU" w:bidi="ar-SA"/>
        </w:rPr>
        <w:t>se</w:t>
      </w:r>
      <w:r w:rsidR="00A727F0">
        <w:rPr>
          <w:lang w:eastAsia="en-AU" w:bidi="ar-SA"/>
        </w:rPr>
        <w:t>s,</w:t>
      </w:r>
      <w:r w:rsidR="0025281A" w:rsidRPr="00F0577C">
        <w:rPr>
          <w:lang w:eastAsia="en-AU" w:bidi="ar-SA"/>
        </w:rPr>
        <w:t xml:space="preserve"> </w:t>
      </w:r>
      <w:r w:rsidR="00A727F0">
        <w:rPr>
          <w:lang w:eastAsia="en-AU" w:bidi="ar-SA"/>
        </w:rPr>
        <w:t xml:space="preserve">for the following reasons: </w:t>
      </w:r>
    </w:p>
    <w:p w14:paraId="4EE11267" w14:textId="77777777" w:rsidR="00A727F0" w:rsidRDefault="00A727F0" w:rsidP="008D614B">
      <w:pPr>
        <w:rPr>
          <w:lang w:eastAsia="en-AU" w:bidi="ar-SA"/>
        </w:rPr>
      </w:pPr>
    </w:p>
    <w:p w14:paraId="5020A8E9" w14:textId="784F8F58" w:rsidR="00A727F0" w:rsidRDefault="00150F02" w:rsidP="00150F02">
      <w:pPr>
        <w:ind w:left="567" w:hanging="567"/>
        <w:rPr>
          <w:lang w:eastAsia="en-AU"/>
        </w:rPr>
      </w:pPr>
      <w:r>
        <w:rPr>
          <w:lang w:eastAsia="en-AU"/>
        </w:rPr>
        <w:t>(i)</w:t>
      </w:r>
      <w:r>
        <w:rPr>
          <w:lang w:eastAsia="en-AU"/>
        </w:rPr>
        <w:tab/>
      </w:r>
      <w:r w:rsidR="00A727F0">
        <w:rPr>
          <w:lang w:eastAsia="en-AU"/>
        </w:rPr>
        <w:t>absence of invertase and amylase side</w:t>
      </w:r>
      <w:r w:rsidR="001057DA">
        <w:rPr>
          <w:lang w:eastAsia="en-AU"/>
        </w:rPr>
        <w:t>-</w:t>
      </w:r>
      <w:r w:rsidR="00A727F0">
        <w:rPr>
          <w:lang w:eastAsia="en-AU"/>
        </w:rPr>
        <w:t xml:space="preserve">activity, eliminating </w:t>
      </w:r>
      <w:r w:rsidR="00A727F0">
        <w:rPr>
          <w:lang w:eastAsia="en-AU"/>
        </w:rPr>
        <w:lastRenderedPageBreak/>
        <w:t>the likelihood of oligosaccharide formation</w:t>
      </w:r>
    </w:p>
    <w:p w14:paraId="3D568E42" w14:textId="2E5B52C7" w:rsidR="00A727F0" w:rsidRDefault="00150F02" w:rsidP="00150F02">
      <w:pPr>
        <w:ind w:left="567" w:right="-286" w:hanging="567"/>
        <w:rPr>
          <w:lang w:eastAsia="en-AU"/>
        </w:rPr>
      </w:pPr>
      <w:r>
        <w:rPr>
          <w:lang w:eastAsia="en-AU"/>
        </w:rPr>
        <w:t>(ii)</w:t>
      </w:r>
      <w:r>
        <w:rPr>
          <w:lang w:eastAsia="en-AU"/>
        </w:rPr>
        <w:tab/>
      </w:r>
      <w:r w:rsidR="00A727F0">
        <w:rPr>
          <w:lang w:eastAsia="en-AU"/>
        </w:rPr>
        <w:t>with reduced oligosaccharide formation, there is increased stability in sweetness and taste</w:t>
      </w:r>
    </w:p>
    <w:p w14:paraId="7F9FE723" w14:textId="03AF5DA4" w:rsidR="0025281A" w:rsidRDefault="00150F02" w:rsidP="00150F02">
      <w:pPr>
        <w:ind w:left="567" w:hanging="567"/>
        <w:rPr>
          <w:lang w:eastAsia="en-AU"/>
        </w:rPr>
      </w:pPr>
      <w:r>
        <w:rPr>
          <w:lang w:eastAsia="en-AU"/>
        </w:rPr>
        <w:t>(iii)</w:t>
      </w:r>
      <w:r>
        <w:rPr>
          <w:lang w:eastAsia="en-AU"/>
        </w:rPr>
        <w:tab/>
      </w:r>
      <w:r w:rsidR="00A727F0">
        <w:rPr>
          <w:lang w:eastAsia="en-AU"/>
        </w:rPr>
        <w:t xml:space="preserve">with increased stability of sweetness, there is little need to add extra sugars to the milk and thus </w:t>
      </w:r>
      <w:r w:rsidR="003F6F9F">
        <w:rPr>
          <w:lang w:eastAsia="en-AU"/>
        </w:rPr>
        <w:t>a reduction in</w:t>
      </w:r>
      <w:r w:rsidR="00A727F0">
        <w:rPr>
          <w:lang w:eastAsia="en-AU"/>
        </w:rPr>
        <w:t xml:space="preserve"> calori</w:t>
      </w:r>
      <w:r w:rsidR="003F6F9F">
        <w:rPr>
          <w:lang w:eastAsia="en-AU"/>
        </w:rPr>
        <w:t>e</w:t>
      </w:r>
      <w:r w:rsidR="00A727F0">
        <w:rPr>
          <w:lang w:eastAsia="en-AU"/>
        </w:rPr>
        <w:t xml:space="preserve"> intake</w:t>
      </w:r>
    </w:p>
    <w:p w14:paraId="70E4EE25" w14:textId="5EB16BA7" w:rsidR="003F6F9F" w:rsidRPr="00F0577C" w:rsidRDefault="00150F02" w:rsidP="00150F02">
      <w:pPr>
        <w:ind w:left="567" w:hanging="567"/>
        <w:rPr>
          <w:lang w:eastAsia="en-AU"/>
        </w:rPr>
      </w:pPr>
      <w:r>
        <w:rPr>
          <w:lang w:eastAsia="en-AU"/>
        </w:rPr>
        <w:t>(iv)</w:t>
      </w:r>
      <w:r>
        <w:rPr>
          <w:lang w:eastAsia="en-AU"/>
        </w:rPr>
        <w:tab/>
      </w:r>
      <w:r w:rsidR="003F6F9F">
        <w:rPr>
          <w:lang w:eastAsia="en-AU"/>
        </w:rPr>
        <w:t xml:space="preserve">the optimal temperature and pH of the lactase enzyme from </w:t>
      </w:r>
      <w:r w:rsidR="003F6F9F" w:rsidRPr="00150F02">
        <w:rPr>
          <w:i/>
          <w:lang w:eastAsia="en-AU"/>
        </w:rPr>
        <w:t>B. bifidum</w:t>
      </w:r>
      <w:r w:rsidR="003F6F9F">
        <w:rPr>
          <w:lang w:eastAsia="en-AU"/>
        </w:rPr>
        <w:t xml:space="preserve"> makes this enzyme more suitable for yogurt production </w:t>
      </w:r>
    </w:p>
    <w:p w14:paraId="057BDCB0" w14:textId="77777777" w:rsidR="0099661E" w:rsidRPr="00F0577C" w:rsidRDefault="0099661E" w:rsidP="008D614B">
      <w:pPr>
        <w:rPr>
          <w:lang w:eastAsia="en-AU" w:bidi="ar-SA"/>
        </w:rPr>
      </w:pPr>
    </w:p>
    <w:p w14:paraId="23101179" w14:textId="77777777" w:rsidR="00DA1F91" w:rsidRDefault="0099661E" w:rsidP="00814A9A">
      <w:pPr>
        <w:rPr>
          <w:lang w:eastAsia="en-AU"/>
        </w:rPr>
      </w:pPr>
      <w:r w:rsidRPr="00F0577C">
        <w:rPr>
          <w:lang w:eastAsia="en-AU"/>
        </w:rPr>
        <w:t>Depending on the formulation of the lactase preparation, it may be used for traditionally pasteurised or UHT dairy products.</w:t>
      </w:r>
    </w:p>
    <w:p w14:paraId="2E28F10D" w14:textId="3A7B22F4" w:rsidR="00337FF5" w:rsidRDefault="00337FF5" w:rsidP="00DA1F91">
      <w:pPr>
        <w:pStyle w:val="Heading2"/>
        <w:rPr>
          <w:lang w:eastAsia="en-AU"/>
        </w:rPr>
      </w:pPr>
      <w:bookmarkStart w:id="16" w:name="_Toc473540354"/>
      <w:r>
        <w:rPr>
          <w:lang w:eastAsia="en-AU"/>
        </w:rPr>
        <w:t>2.5</w:t>
      </w:r>
      <w:r>
        <w:rPr>
          <w:lang w:eastAsia="en-AU"/>
        </w:rPr>
        <w:tab/>
        <w:t>Food technology conclusion</w:t>
      </w:r>
      <w:bookmarkEnd w:id="16"/>
    </w:p>
    <w:p w14:paraId="359F19AB" w14:textId="78C3A1EE" w:rsidR="00150F02" w:rsidRDefault="00F148E0" w:rsidP="00F148E0">
      <w:pPr>
        <w:rPr>
          <w:lang w:eastAsia="en-AU" w:bidi="ar-SA"/>
        </w:rPr>
      </w:pPr>
      <w:r w:rsidRPr="00F148E0">
        <w:rPr>
          <w:lang w:eastAsia="en-AU" w:bidi="ar-SA"/>
        </w:rPr>
        <w:t xml:space="preserve">The evidence presented </w:t>
      </w:r>
      <w:r>
        <w:rPr>
          <w:lang w:eastAsia="en-AU" w:bidi="ar-SA"/>
        </w:rPr>
        <w:t xml:space="preserve">in the Application </w:t>
      </w:r>
      <w:r w:rsidRPr="00F148E0">
        <w:rPr>
          <w:lang w:eastAsia="en-AU" w:bidi="ar-SA"/>
        </w:rPr>
        <w:t>support</w:t>
      </w:r>
      <w:r>
        <w:rPr>
          <w:lang w:eastAsia="en-AU" w:bidi="ar-SA"/>
        </w:rPr>
        <w:t>s</w:t>
      </w:r>
      <w:r w:rsidRPr="00F148E0">
        <w:rPr>
          <w:lang w:eastAsia="en-AU" w:bidi="ar-SA"/>
        </w:rPr>
        <w:t xml:space="preserve"> the proposed use of</w:t>
      </w:r>
      <w:r>
        <w:rPr>
          <w:lang w:eastAsia="en-AU" w:bidi="ar-SA"/>
        </w:rPr>
        <w:t xml:space="preserve"> the</w:t>
      </w:r>
      <w:r w:rsidRPr="00F148E0">
        <w:rPr>
          <w:lang w:eastAsia="en-AU" w:bidi="ar-SA"/>
        </w:rPr>
        <w:t xml:space="preserve"> </w:t>
      </w:r>
      <w:r>
        <w:rPr>
          <w:rFonts w:cs="Arial"/>
          <w:lang w:eastAsia="en-AU" w:bidi="ar-SA"/>
        </w:rPr>
        <w:t>β</w:t>
      </w:r>
      <w:r w:rsidRPr="00F0577C">
        <w:rPr>
          <w:lang w:eastAsia="en-AU" w:bidi="ar-SA"/>
        </w:rPr>
        <w:t xml:space="preserve">-galactosidase (lactase) </w:t>
      </w:r>
      <w:r w:rsidRPr="00F148E0">
        <w:rPr>
          <w:lang w:eastAsia="en-AU" w:bidi="ar-SA"/>
        </w:rPr>
        <w:t xml:space="preserve">preparation in food production to hydrolyse </w:t>
      </w:r>
      <w:r>
        <w:rPr>
          <w:lang w:eastAsia="en-AU" w:bidi="ar-SA"/>
        </w:rPr>
        <w:t>lactose. The Applicant has</w:t>
      </w:r>
      <w:r w:rsidRPr="00F148E0">
        <w:rPr>
          <w:lang w:eastAsia="en-AU" w:bidi="ar-SA"/>
        </w:rPr>
        <w:t xml:space="preserve"> provided adequate assurance that the enzy</w:t>
      </w:r>
      <w:r>
        <w:rPr>
          <w:lang w:eastAsia="en-AU" w:bidi="ar-SA"/>
        </w:rPr>
        <w:t>me is technologically justified and</w:t>
      </w:r>
      <w:r w:rsidRPr="00F148E0">
        <w:rPr>
          <w:lang w:eastAsia="en-AU" w:bidi="ar-SA"/>
        </w:rPr>
        <w:t xml:space="preserve"> </w:t>
      </w:r>
      <w:r>
        <w:rPr>
          <w:lang w:eastAsia="en-AU" w:bidi="ar-SA"/>
        </w:rPr>
        <w:t>t</w:t>
      </w:r>
      <w:r w:rsidRPr="00F148E0">
        <w:rPr>
          <w:lang w:eastAsia="en-AU" w:bidi="ar-SA"/>
        </w:rPr>
        <w:t>he enzyme preparation meets international purity specifications.</w:t>
      </w:r>
      <w:r w:rsidR="00A10671" w:rsidRPr="00F0577C">
        <w:rPr>
          <w:lang w:eastAsia="en-AU" w:bidi="ar-SA"/>
        </w:rPr>
        <w:t xml:space="preserve"> </w:t>
      </w:r>
      <w:r w:rsidR="00150F02">
        <w:rPr>
          <w:lang w:eastAsia="en-AU" w:bidi="ar-SA"/>
        </w:rPr>
        <w:br w:type="page"/>
      </w:r>
    </w:p>
    <w:p w14:paraId="48D25148" w14:textId="1049214C" w:rsidR="00337FF5" w:rsidRPr="00B96335" w:rsidRDefault="00337FF5" w:rsidP="00337FF5">
      <w:pPr>
        <w:pStyle w:val="Heading1"/>
      </w:pPr>
      <w:bookmarkStart w:id="17" w:name="_Toc473540355"/>
      <w:r w:rsidRPr="00B96335">
        <w:lastRenderedPageBreak/>
        <w:t>3</w:t>
      </w:r>
      <w:r w:rsidRPr="00B96335">
        <w:tab/>
        <w:t xml:space="preserve">Hazard </w:t>
      </w:r>
      <w:r w:rsidR="0058504E">
        <w:t>a</w:t>
      </w:r>
      <w:r w:rsidRPr="00B96335">
        <w:t>ssessment</w:t>
      </w:r>
      <w:bookmarkEnd w:id="17"/>
    </w:p>
    <w:p w14:paraId="4A4EE662" w14:textId="77777777" w:rsidR="005B750E" w:rsidRDefault="00337FF5" w:rsidP="00337FF5">
      <w:pPr>
        <w:pStyle w:val="Heading2"/>
      </w:pPr>
      <w:bookmarkStart w:id="18" w:name="_Toc473540356"/>
      <w:r w:rsidRPr="00B96335">
        <w:t>3.1</w:t>
      </w:r>
      <w:r w:rsidRPr="00B96335">
        <w:tab/>
      </w:r>
      <w:r w:rsidR="005B750E">
        <w:t>Background</w:t>
      </w:r>
      <w:bookmarkEnd w:id="18"/>
    </w:p>
    <w:p w14:paraId="1B4AC373" w14:textId="75475334" w:rsidR="005B750E" w:rsidRPr="00B23D33" w:rsidRDefault="005B750E" w:rsidP="00B23D33">
      <w:pPr>
        <w:pStyle w:val="Heading3"/>
      </w:pPr>
      <w:bookmarkStart w:id="19" w:name="_Toc473540357"/>
      <w:r w:rsidRPr="00B23D33">
        <w:t xml:space="preserve">3.1.1 </w:t>
      </w:r>
      <w:r w:rsidR="0058504E">
        <w:tab/>
      </w:r>
      <w:r w:rsidRPr="00B23D33">
        <w:t>Chemistry</w:t>
      </w:r>
      <w:bookmarkEnd w:id="19"/>
    </w:p>
    <w:p w14:paraId="025CC5D3" w14:textId="2860A760" w:rsidR="005B750E" w:rsidRDefault="005B750E" w:rsidP="008D614B">
      <w:pPr>
        <w:rPr>
          <w:rFonts w:cs="Arial"/>
          <w:color w:val="000000" w:themeColor="text1"/>
        </w:rPr>
      </w:pPr>
      <w:r w:rsidRPr="005B2FF7">
        <w:rPr>
          <w:rFonts w:cs="Arial"/>
          <w:color w:val="000000" w:themeColor="text1"/>
        </w:rPr>
        <w:t xml:space="preserve">Details of the chemistry of the </w:t>
      </w:r>
      <w:r>
        <w:rPr>
          <w:rFonts w:cs="Arial"/>
          <w:color w:val="000000" w:themeColor="text1"/>
        </w:rPr>
        <w:t>lactase</w:t>
      </w:r>
      <w:r w:rsidRPr="005B2FF7">
        <w:rPr>
          <w:rFonts w:cs="Arial"/>
          <w:color w:val="000000" w:themeColor="text1"/>
        </w:rPr>
        <w:t xml:space="preserve"> produced by </w:t>
      </w:r>
      <w:r w:rsidR="0058504E" w:rsidRPr="00A1396C">
        <w:rPr>
          <w:rFonts w:cs="Arial"/>
          <w:i/>
          <w:color w:val="000000" w:themeColor="text1"/>
        </w:rPr>
        <w:t>B</w:t>
      </w:r>
      <w:r w:rsidR="0058504E">
        <w:rPr>
          <w:rFonts w:cs="Arial"/>
          <w:i/>
          <w:color w:val="000000" w:themeColor="text1"/>
        </w:rPr>
        <w:t>.</w:t>
      </w:r>
      <w:r w:rsidR="0058504E" w:rsidRPr="00A1396C">
        <w:rPr>
          <w:rFonts w:cs="Arial"/>
          <w:i/>
          <w:color w:val="000000" w:themeColor="text1"/>
        </w:rPr>
        <w:t xml:space="preserve"> </w:t>
      </w:r>
      <w:r w:rsidRPr="00A1396C">
        <w:rPr>
          <w:rFonts w:cs="Arial"/>
          <w:i/>
          <w:color w:val="000000" w:themeColor="text1"/>
        </w:rPr>
        <w:t>licheniformis</w:t>
      </w:r>
      <w:r w:rsidRPr="00A1396C">
        <w:rPr>
          <w:rFonts w:cs="Arial"/>
          <w:color w:val="000000" w:themeColor="text1"/>
        </w:rPr>
        <w:t xml:space="preserve"> </w:t>
      </w:r>
      <w:r w:rsidRPr="005B2FF7">
        <w:rPr>
          <w:rFonts w:cs="Arial"/>
          <w:color w:val="000000" w:themeColor="text1"/>
        </w:rPr>
        <w:t xml:space="preserve">including relevant physicochemical and enzymatic properties, and product specifications, are provided in the Food </w:t>
      </w:r>
      <w:r w:rsidR="0058504E">
        <w:rPr>
          <w:rFonts w:cs="Arial"/>
          <w:color w:val="000000" w:themeColor="text1"/>
        </w:rPr>
        <w:t>t</w:t>
      </w:r>
      <w:r w:rsidRPr="005B2FF7">
        <w:rPr>
          <w:rFonts w:cs="Arial"/>
          <w:color w:val="000000" w:themeColor="text1"/>
        </w:rPr>
        <w:t xml:space="preserve">echnology </w:t>
      </w:r>
      <w:r w:rsidR="0058504E">
        <w:rPr>
          <w:rFonts w:cs="Arial"/>
          <w:color w:val="000000" w:themeColor="text1"/>
        </w:rPr>
        <w:t>a</w:t>
      </w:r>
      <w:r w:rsidRPr="005B2FF7">
        <w:rPr>
          <w:rFonts w:cs="Arial"/>
          <w:color w:val="000000" w:themeColor="text1"/>
        </w:rPr>
        <w:t>ssessment (</w:t>
      </w:r>
      <w:r w:rsidRPr="00704354">
        <w:rPr>
          <w:rFonts w:cs="Arial"/>
          <w:color w:val="000000" w:themeColor="text1"/>
        </w:rPr>
        <w:t>Section 2</w:t>
      </w:r>
      <w:r w:rsidRPr="005B2FF7">
        <w:rPr>
          <w:rFonts w:cs="Arial"/>
          <w:color w:val="000000" w:themeColor="text1"/>
        </w:rPr>
        <w:t>)</w:t>
      </w:r>
      <w:r>
        <w:rPr>
          <w:rFonts w:cs="Arial"/>
          <w:color w:val="000000" w:themeColor="text1"/>
        </w:rPr>
        <w:t>.</w:t>
      </w:r>
    </w:p>
    <w:p w14:paraId="6212357D" w14:textId="6CA59C20" w:rsidR="005B750E" w:rsidRPr="00B23D33" w:rsidRDefault="005B750E" w:rsidP="008D614B">
      <w:pPr>
        <w:pStyle w:val="Heading3"/>
      </w:pPr>
      <w:bookmarkStart w:id="20" w:name="_Toc473540358"/>
      <w:r w:rsidRPr="00B23D33">
        <w:t xml:space="preserve">3.1.2 </w:t>
      </w:r>
      <w:r w:rsidR="0058504E">
        <w:tab/>
      </w:r>
      <w:r w:rsidRPr="00B23D33">
        <w:t>Description of the genetic modification processes</w:t>
      </w:r>
      <w:bookmarkEnd w:id="20"/>
    </w:p>
    <w:p w14:paraId="23C673A8" w14:textId="1B81F116" w:rsidR="005B750E" w:rsidRPr="00A57CDF" w:rsidRDefault="00704354" w:rsidP="00150F02">
      <w:pPr>
        <w:autoSpaceDE w:val="0"/>
        <w:autoSpaceDN w:val="0"/>
        <w:adjustRightInd w:val="0"/>
        <w:ind w:right="-144"/>
        <w:rPr>
          <w:rFonts w:cs="Arial"/>
          <w:color w:val="000000" w:themeColor="text1"/>
        </w:rPr>
      </w:pPr>
      <w:r>
        <w:t xml:space="preserve">The </w:t>
      </w:r>
      <w:r>
        <w:rPr>
          <w:rFonts w:cs="Arial"/>
        </w:rPr>
        <w:t>β</w:t>
      </w:r>
      <w:r>
        <w:t xml:space="preserve">-galactosidase, </w:t>
      </w:r>
      <w:r w:rsidR="001B6D26">
        <w:t>also</w:t>
      </w:r>
      <w:r>
        <w:t xml:space="preserve"> known as l</w:t>
      </w:r>
      <w:r w:rsidR="005B750E">
        <w:t>actase</w:t>
      </w:r>
      <w:r>
        <w:t>,</w:t>
      </w:r>
      <w:r w:rsidR="005B750E">
        <w:t xml:space="preserve"> is produced by a genetically modified (GM) strain of </w:t>
      </w:r>
      <w:r w:rsidR="0058504E" w:rsidRPr="00A1396C">
        <w:rPr>
          <w:rFonts w:cs="Arial"/>
          <w:i/>
          <w:color w:val="000000" w:themeColor="text1"/>
        </w:rPr>
        <w:t>B</w:t>
      </w:r>
      <w:r w:rsidR="0058504E">
        <w:rPr>
          <w:rFonts w:cs="Arial"/>
          <w:i/>
          <w:color w:val="000000" w:themeColor="text1"/>
        </w:rPr>
        <w:t>.</w:t>
      </w:r>
      <w:r w:rsidR="0058504E" w:rsidRPr="00A1396C">
        <w:rPr>
          <w:rFonts w:cs="Arial"/>
          <w:i/>
          <w:color w:val="000000" w:themeColor="text1"/>
        </w:rPr>
        <w:t xml:space="preserve"> </w:t>
      </w:r>
      <w:r w:rsidR="005B750E" w:rsidRPr="00A1396C">
        <w:rPr>
          <w:rFonts w:cs="Arial"/>
          <w:i/>
          <w:color w:val="000000" w:themeColor="text1"/>
        </w:rPr>
        <w:t>licheniformis</w:t>
      </w:r>
      <w:r w:rsidR="005B750E" w:rsidRPr="00A1396C">
        <w:rPr>
          <w:rFonts w:cs="Arial"/>
          <w:color w:val="000000" w:themeColor="text1"/>
        </w:rPr>
        <w:t xml:space="preserve"> (production strain </w:t>
      </w:r>
      <w:r w:rsidR="005B750E">
        <w:rPr>
          <w:rFonts w:cs="Arial"/>
          <w:color w:val="000000" w:themeColor="text1"/>
        </w:rPr>
        <w:t xml:space="preserve">PP3930). </w:t>
      </w:r>
    </w:p>
    <w:p w14:paraId="0F4FA6E9" w14:textId="77777777" w:rsidR="005B750E" w:rsidRDefault="005B750E" w:rsidP="008D614B">
      <w:pPr>
        <w:rPr>
          <w:rFonts w:cs="Arial"/>
          <w:color w:val="000000" w:themeColor="text1"/>
        </w:rPr>
      </w:pPr>
    </w:p>
    <w:p w14:paraId="7DC2F8EE" w14:textId="6B91357C" w:rsidR="005B750E" w:rsidRDefault="005B750E" w:rsidP="008D614B">
      <w:pPr>
        <w:rPr>
          <w:rFonts w:cs="Arial"/>
          <w:iCs/>
        </w:rPr>
      </w:pPr>
      <w:r>
        <w:rPr>
          <w:rFonts w:cs="Arial"/>
          <w:color w:val="000000" w:themeColor="text1"/>
        </w:rPr>
        <w:t xml:space="preserve">The </w:t>
      </w:r>
      <w:r w:rsidR="00D576A9">
        <w:rPr>
          <w:rFonts w:cs="Arial"/>
          <w:color w:val="000000" w:themeColor="text1"/>
        </w:rPr>
        <w:t xml:space="preserve">introduced </w:t>
      </w:r>
      <w:r>
        <w:rPr>
          <w:rFonts w:cs="Arial"/>
          <w:color w:val="000000" w:themeColor="text1"/>
        </w:rPr>
        <w:t>lactase</w:t>
      </w:r>
      <w:r w:rsidRPr="00A1396C">
        <w:rPr>
          <w:rFonts w:cs="Arial"/>
          <w:color w:val="000000" w:themeColor="text1"/>
        </w:rPr>
        <w:t xml:space="preserve"> </w:t>
      </w:r>
      <w:r>
        <w:rPr>
          <w:rFonts w:cs="Arial"/>
          <w:color w:val="000000" w:themeColor="text1"/>
        </w:rPr>
        <w:t xml:space="preserve">gene, designated </w:t>
      </w:r>
      <w:r w:rsidRPr="00EF6D3E">
        <w:rPr>
          <w:rFonts w:cs="Arial"/>
          <w:i/>
          <w:color w:val="000000" w:themeColor="text1"/>
        </w:rPr>
        <w:t>galT1</w:t>
      </w:r>
      <w:r>
        <w:rPr>
          <w:rFonts w:cs="Arial"/>
          <w:color w:val="000000" w:themeColor="text1"/>
        </w:rPr>
        <w:t xml:space="preserve">, was based on the </w:t>
      </w:r>
      <w:r w:rsidRPr="00A1396C">
        <w:rPr>
          <w:rFonts w:cs="Arial"/>
          <w:color w:val="000000" w:themeColor="text1"/>
        </w:rPr>
        <w:t>coding sequence</w:t>
      </w:r>
      <w:r>
        <w:rPr>
          <w:rFonts w:cs="Arial"/>
          <w:color w:val="000000" w:themeColor="text1"/>
        </w:rPr>
        <w:t xml:space="preserve"> for the lactase (</w:t>
      </w:r>
      <w:r>
        <w:rPr>
          <w:rFonts w:cs="Arial"/>
          <w:i/>
          <w:color w:val="000000" w:themeColor="text1"/>
        </w:rPr>
        <w:t>bbgIII</w:t>
      </w:r>
      <w:r>
        <w:rPr>
          <w:rFonts w:cs="Arial"/>
          <w:color w:val="000000" w:themeColor="text1"/>
        </w:rPr>
        <w:t xml:space="preserve">) gene from </w:t>
      </w:r>
      <w:r w:rsidR="0058504E">
        <w:rPr>
          <w:rFonts w:cs="Arial"/>
          <w:i/>
          <w:color w:val="000000" w:themeColor="text1"/>
        </w:rPr>
        <w:t xml:space="preserve">B. </w:t>
      </w:r>
      <w:r>
        <w:rPr>
          <w:rFonts w:cs="Arial"/>
          <w:i/>
          <w:color w:val="000000" w:themeColor="text1"/>
        </w:rPr>
        <w:t>bifidum</w:t>
      </w:r>
      <w:r>
        <w:rPr>
          <w:rFonts w:cs="Arial"/>
          <w:color w:val="000000" w:themeColor="text1"/>
        </w:rPr>
        <w:t xml:space="preserve"> (strain NCIMB 41171). The sequence has been modified to express the signal peptide from an alkaline protease (</w:t>
      </w:r>
      <w:r w:rsidRPr="007935F5">
        <w:rPr>
          <w:rFonts w:cs="Arial"/>
          <w:i/>
          <w:color w:val="000000" w:themeColor="text1"/>
        </w:rPr>
        <w:t>aprH</w:t>
      </w:r>
      <w:r w:rsidRPr="007935F5">
        <w:rPr>
          <w:rFonts w:cs="Arial"/>
          <w:color w:val="000000" w:themeColor="text1"/>
        </w:rPr>
        <w:t>)</w:t>
      </w:r>
      <w:r>
        <w:rPr>
          <w:rFonts w:cs="Arial"/>
          <w:color w:val="000000" w:themeColor="text1"/>
        </w:rPr>
        <w:t xml:space="preserve"> gene of </w:t>
      </w:r>
      <w:r w:rsidRPr="007935F5">
        <w:rPr>
          <w:rFonts w:cs="Arial"/>
          <w:i/>
          <w:color w:val="000000" w:themeColor="text1"/>
        </w:rPr>
        <w:t>Bacillus clausii</w:t>
      </w:r>
      <w:r>
        <w:rPr>
          <w:rFonts w:cs="Arial"/>
          <w:color w:val="000000" w:themeColor="text1"/>
        </w:rPr>
        <w:t xml:space="preserve">, which ensures secretion of the enzyme product. </w:t>
      </w:r>
      <w:r w:rsidR="008F46A6">
        <w:rPr>
          <w:rFonts w:cs="Arial"/>
          <w:color w:val="000000" w:themeColor="text1"/>
        </w:rPr>
        <w:t xml:space="preserve">A hybrid promoter containing elements from </w:t>
      </w:r>
      <w:r w:rsidR="008F46A6" w:rsidRPr="00D31D1C">
        <w:rPr>
          <w:rFonts w:cs="Arial"/>
          <w:i/>
          <w:iCs/>
        </w:rPr>
        <w:t>B. licheniformis</w:t>
      </w:r>
      <w:r w:rsidR="008F46A6" w:rsidRPr="00D31D1C">
        <w:rPr>
          <w:rFonts w:cs="Arial"/>
        </w:rPr>
        <w:t xml:space="preserve">, </w:t>
      </w:r>
      <w:r w:rsidR="008F46A6" w:rsidRPr="00D31D1C">
        <w:rPr>
          <w:rFonts w:cs="Arial"/>
          <w:i/>
          <w:iCs/>
        </w:rPr>
        <w:t xml:space="preserve">B. amyloliquefaciens </w:t>
      </w:r>
      <w:r w:rsidR="008F46A6" w:rsidRPr="00D31D1C">
        <w:rPr>
          <w:rFonts w:cs="Arial"/>
        </w:rPr>
        <w:t xml:space="preserve">and </w:t>
      </w:r>
      <w:r w:rsidR="008F46A6">
        <w:rPr>
          <w:rFonts w:cs="Arial"/>
          <w:i/>
          <w:iCs/>
        </w:rPr>
        <w:t>B. thuringiensis</w:t>
      </w:r>
      <w:r w:rsidR="008F46A6">
        <w:rPr>
          <w:rFonts w:cs="Arial"/>
          <w:iCs/>
        </w:rPr>
        <w:t xml:space="preserve"> drives the </w:t>
      </w:r>
      <w:r w:rsidR="008F46A6" w:rsidRPr="008F46A6">
        <w:rPr>
          <w:rFonts w:cs="Arial"/>
          <w:i/>
          <w:iCs/>
        </w:rPr>
        <w:t>galT1</w:t>
      </w:r>
      <w:r w:rsidR="008F46A6">
        <w:rPr>
          <w:rFonts w:cs="Arial"/>
          <w:iCs/>
        </w:rPr>
        <w:t xml:space="preserve"> gene</w:t>
      </w:r>
      <w:r w:rsidR="008F46A6">
        <w:rPr>
          <w:rFonts w:cs="Arial"/>
          <w:color w:val="000000" w:themeColor="text1"/>
        </w:rPr>
        <w:t xml:space="preserve"> and</w:t>
      </w:r>
      <w:r>
        <w:rPr>
          <w:rFonts w:cs="Arial"/>
          <w:color w:val="000000" w:themeColor="text1"/>
        </w:rPr>
        <w:t xml:space="preserve"> a terminator sequence from </w:t>
      </w:r>
      <w:r w:rsidRPr="00CB09AE">
        <w:rPr>
          <w:rFonts w:cs="Arial"/>
          <w:i/>
          <w:color w:val="000000" w:themeColor="text1"/>
        </w:rPr>
        <w:t>B. licheniformis</w:t>
      </w:r>
      <w:r>
        <w:rPr>
          <w:rFonts w:cs="Arial"/>
          <w:color w:val="000000" w:themeColor="text1"/>
        </w:rPr>
        <w:t xml:space="preserve"> </w:t>
      </w:r>
      <w:r w:rsidR="00814D62">
        <w:rPr>
          <w:rFonts w:cs="Arial"/>
          <w:color w:val="000000" w:themeColor="text1"/>
        </w:rPr>
        <w:t>is</w:t>
      </w:r>
      <w:r>
        <w:rPr>
          <w:rFonts w:cs="Arial"/>
          <w:color w:val="000000" w:themeColor="text1"/>
        </w:rPr>
        <w:t xml:space="preserve"> used to ensure termination of transcription</w:t>
      </w:r>
      <w:r w:rsidR="008F46A6">
        <w:rPr>
          <w:rFonts w:cs="Arial"/>
          <w:color w:val="000000" w:themeColor="text1"/>
        </w:rPr>
        <w:t>.</w:t>
      </w:r>
      <w:r w:rsidRPr="0036490B">
        <w:rPr>
          <w:rFonts w:cs="Arial"/>
        </w:rPr>
        <w:t xml:space="preserve"> The synthetic lactase gene was transferred into plasmid pE194 </w:t>
      </w:r>
      <w:r w:rsidR="005D4E06">
        <w:rPr>
          <w:rFonts w:cs="Arial"/>
        </w:rPr>
        <w:t>(Horinouchi and Weisblum, 1982)</w:t>
      </w:r>
      <w:r w:rsidRPr="0036490B">
        <w:rPr>
          <w:rFonts w:cs="Arial"/>
        </w:rPr>
        <w:t xml:space="preserve"> to create the expression plasmid pPP2771. </w:t>
      </w:r>
    </w:p>
    <w:p w14:paraId="3BD4BCD2" w14:textId="77777777" w:rsidR="005B750E" w:rsidRDefault="005B750E" w:rsidP="008D614B">
      <w:pPr>
        <w:rPr>
          <w:rFonts w:cs="Arial"/>
          <w:iCs/>
        </w:rPr>
      </w:pPr>
    </w:p>
    <w:p w14:paraId="21952118" w14:textId="0DB63A7F" w:rsidR="00F148E0" w:rsidRDefault="005B750E" w:rsidP="00150F02">
      <w:pPr>
        <w:spacing w:line="20" w:lineRule="atLeast"/>
        <w:ind w:right="-428"/>
        <w:rPr>
          <w:rFonts w:cs="Arial"/>
        </w:rPr>
      </w:pPr>
      <w:r w:rsidRPr="0036490B">
        <w:rPr>
          <w:rFonts w:cs="Arial"/>
        </w:rPr>
        <w:t xml:space="preserve">The </w:t>
      </w:r>
      <w:r>
        <w:rPr>
          <w:rFonts w:cs="Arial"/>
        </w:rPr>
        <w:t xml:space="preserve">expression </w:t>
      </w:r>
      <w:r w:rsidRPr="0036490B">
        <w:rPr>
          <w:rFonts w:cs="Arial"/>
        </w:rPr>
        <w:t xml:space="preserve">plasmid pPP2771 was transformed into </w:t>
      </w:r>
      <w:r>
        <w:rPr>
          <w:rFonts w:cs="Arial"/>
        </w:rPr>
        <w:t xml:space="preserve">the </w:t>
      </w:r>
      <w:r w:rsidRPr="0036490B">
        <w:rPr>
          <w:rFonts w:cs="Arial"/>
          <w:i/>
          <w:color w:val="000000" w:themeColor="text1"/>
        </w:rPr>
        <w:t>B. licheniformis</w:t>
      </w:r>
      <w:r w:rsidRPr="0036490B">
        <w:rPr>
          <w:rFonts w:cs="Arial"/>
          <w:color w:val="000000" w:themeColor="text1"/>
        </w:rPr>
        <w:t xml:space="preserve"> </w:t>
      </w:r>
      <w:r w:rsidRPr="0036490B">
        <w:rPr>
          <w:rFonts w:cs="Arial"/>
        </w:rPr>
        <w:t xml:space="preserve">strain AEB1763 to generate the production strain PP3930. A site-specific integration method mobilised the cassette into four specific loci in AEB1763. Thus PP3930 contains four copies of the </w:t>
      </w:r>
      <w:r w:rsidRPr="0036490B">
        <w:rPr>
          <w:rFonts w:cs="Arial"/>
          <w:i/>
        </w:rPr>
        <w:t>galT1</w:t>
      </w:r>
      <w:r w:rsidRPr="0036490B">
        <w:rPr>
          <w:rFonts w:cs="Arial"/>
        </w:rPr>
        <w:t xml:space="preserve"> gene</w:t>
      </w:r>
      <w:r w:rsidRPr="00D31D1C">
        <w:rPr>
          <w:rFonts w:cs="Arial"/>
        </w:rPr>
        <w:t xml:space="preserve">. </w:t>
      </w:r>
      <w:r>
        <w:rPr>
          <w:rFonts w:cs="Arial"/>
        </w:rPr>
        <w:t>DNA s</w:t>
      </w:r>
      <w:r w:rsidRPr="00D31D1C">
        <w:rPr>
          <w:rFonts w:cs="Arial"/>
        </w:rPr>
        <w:t>equence</w:t>
      </w:r>
      <w:r>
        <w:rPr>
          <w:rFonts w:cs="Arial"/>
        </w:rPr>
        <w:t xml:space="preserve"> analysis and Southern blotting confirmed </w:t>
      </w:r>
      <w:r w:rsidRPr="00D31D1C">
        <w:rPr>
          <w:rFonts w:cs="Arial"/>
        </w:rPr>
        <w:t>there are no other coding sequences</w:t>
      </w:r>
      <w:r w:rsidR="00EE3ACB">
        <w:rPr>
          <w:rFonts w:cs="Arial"/>
        </w:rPr>
        <w:t>, including antibiotic resistance genes,</w:t>
      </w:r>
      <w:r w:rsidRPr="00D31D1C">
        <w:rPr>
          <w:rFonts w:cs="Arial"/>
        </w:rPr>
        <w:t xml:space="preserve"> from the plasmid present in the final production strain. </w:t>
      </w:r>
    </w:p>
    <w:p w14:paraId="74A5CED9" w14:textId="77777777" w:rsidR="00DD1DD9" w:rsidRDefault="00DD1DD9" w:rsidP="00DD1DD9">
      <w:pPr>
        <w:rPr>
          <w:b/>
          <w:bCs/>
          <w:color w:val="000000" w:themeColor="text1"/>
          <w:lang w:eastAsia="en-AU" w:bidi="ar-SA"/>
        </w:rPr>
      </w:pPr>
    </w:p>
    <w:p w14:paraId="59028AC5" w14:textId="538BAD04" w:rsidR="00DD1DD9" w:rsidRPr="001C61E6" w:rsidRDefault="00DD1DD9" w:rsidP="001C61E6">
      <w:pPr>
        <w:rPr>
          <w:rFonts w:cs="Arial"/>
          <w:color w:val="000000"/>
          <w:szCs w:val="22"/>
        </w:rPr>
      </w:pPr>
      <w:r>
        <w:rPr>
          <w:rFonts w:cs="Arial"/>
          <w:color w:val="000000"/>
          <w:szCs w:val="22"/>
        </w:rPr>
        <w:t>Full details of the genetic modification to the production organism were provided as “Confidential Commercial Information”.</w:t>
      </w:r>
    </w:p>
    <w:p w14:paraId="6BE819B1" w14:textId="77777777" w:rsidR="005B750E" w:rsidRPr="003564C1" w:rsidRDefault="005B750E" w:rsidP="00B23D33">
      <w:pPr>
        <w:pStyle w:val="Heading3"/>
        <w:rPr>
          <w:i/>
        </w:rPr>
      </w:pPr>
      <w:bookmarkStart w:id="21" w:name="_Toc473540359"/>
      <w:r w:rsidRPr="00193995">
        <w:lastRenderedPageBreak/>
        <w:t>3.</w:t>
      </w:r>
      <w:r>
        <w:t>1.3</w:t>
      </w:r>
      <w:r w:rsidRPr="003564C1">
        <w:rPr>
          <w:i/>
        </w:rPr>
        <w:t xml:space="preserve"> </w:t>
      </w:r>
      <w:r w:rsidR="0058504E">
        <w:rPr>
          <w:i/>
        </w:rPr>
        <w:tab/>
      </w:r>
      <w:r w:rsidRPr="00193995">
        <w:t>Scope of the hazard assessment</w:t>
      </w:r>
      <w:bookmarkEnd w:id="21"/>
    </w:p>
    <w:p w14:paraId="0F7847FA" w14:textId="77777777" w:rsidR="005B750E" w:rsidRDefault="005B750E" w:rsidP="00DC5F0E">
      <w:r w:rsidRPr="00F853CC">
        <w:t xml:space="preserve">The hazard of </w:t>
      </w:r>
      <w:r>
        <w:t>lactase</w:t>
      </w:r>
      <w:r w:rsidRPr="00F853CC">
        <w:t xml:space="preserve"> derived from </w:t>
      </w:r>
      <w:r w:rsidRPr="00F853CC">
        <w:rPr>
          <w:i/>
        </w:rPr>
        <w:t>B. licheniformis</w:t>
      </w:r>
      <w:r>
        <w:t xml:space="preserve"> strain PP3930</w:t>
      </w:r>
      <w:r w:rsidRPr="00F853CC">
        <w:t xml:space="preserve"> was evaluated by considering the:</w:t>
      </w:r>
    </w:p>
    <w:p w14:paraId="3AC03F8B" w14:textId="77777777" w:rsidR="0058504E" w:rsidRPr="00F853CC" w:rsidRDefault="0058504E" w:rsidP="00DC5F0E"/>
    <w:p w14:paraId="146E058F" w14:textId="77777777" w:rsidR="005B750E" w:rsidRPr="00F853CC" w:rsidRDefault="005B750E" w:rsidP="00DC5F0E">
      <w:pPr>
        <w:pStyle w:val="FSBullet1"/>
      </w:pPr>
      <w:r w:rsidRPr="00F853CC">
        <w:t xml:space="preserve">hazard of the production organism, including any history of safe use in food production processes; </w:t>
      </w:r>
    </w:p>
    <w:p w14:paraId="5BD7FA37" w14:textId="77777777" w:rsidR="005B750E" w:rsidRPr="00F853CC" w:rsidRDefault="005B750E" w:rsidP="00DC5F0E">
      <w:pPr>
        <w:pStyle w:val="FSBullet1"/>
      </w:pPr>
      <w:r w:rsidRPr="00F853CC">
        <w:t>hazard of the encoded protein, including potential allergenicity</w:t>
      </w:r>
      <w:r>
        <w:t xml:space="preserve"> and toxicity</w:t>
      </w:r>
      <w:r w:rsidRPr="00F853CC">
        <w:t xml:space="preserve">; and </w:t>
      </w:r>
    </w:p>
    <w:p w14:paraId="1D9021E7" w14:textId="3B843F41" w:rsidR="005B750E" w:rsidRDefault="005B750E" w:rsidP="00337FF5">
      <w:pPr>
        <w:pStyle w:val="FSBullet1"/>
      </w:pPr>
      <w:r w:rsidRPr="00F853CC">
        <w:t>toxicity studies on the enzyme preparation intended for commercial use.</w:t>
      </w:r>
    </w:p>
    <w:p w14:paraId="1A1CD6D7" w14:textId="67F154F4" w:rsidR="00337FF5" w:rsidRPr="00DD6B6A" w:rsidRDefault="00337FF5" w:rsidP="00337FF5">
      <w:pPr>
        <w:pStyle w:val="Heading2"/>
      </w:pPr>
      <w:bookmarkStart w:id="22" w:name="_Toc473540360"/>
      <w:r w:rsidRPr="00DD6B6A">
        <w:t>3.2</w:t>
      </w:r>
      <w:r w:rsidRPr="00DD6B6A">
        <w:tab/>
        <w:t xml:space="preserve">Hazard of the production organism – </w:t>
      </w:r>
      <w:r w:rsidR="005B750E" w:rsidRPr="003564C1">
        <w:rPr>
          <w:i/>
          <w:color w:val="000000" w:themeColor="text1"/>
        </w:rPr>
        <w:t>B. licheniformis PP3930</w:t>
      </w:r>
      <w:bookmarkEnd w:id="22"/>
    </w:p>
    <w:p w14:paraId="550B1F54" w14:textId="3567DB71" w:rsidR="00150F02" w:rsidRDefault="00A472E8" w:rsidP="00DC5F0E">
      <w:pPr>
        <w:pStyle w:val="Default"/>
        <w:rPr>
          <w:color w:val="000000" w:themeColor="text1"/>
          <w:sz w:val="22"/>
          <w:szCs w:val="22"/>
        </w:rPr>
      </w:pPr>
      <w:r w:rsidRPr="00026D72">
        <w:rPr>
          <w:i/>
          <w:iCs/>
          <w:color w:val="000000" w:themeColor="text1"/>
          <w:sz w:val="22"/>
          <w:szCs w:val="22"/>
        </w:rPr>
        <w:t>B. licheniformis</w:t>
      </w:r>
      <w:r>
        <w:rPr>
          <w:color w:val="000000" w:themeColor="text1"/>
          <w:sz w:val="22"/>
          <w:szCs w:val="22"/>
        </w:rPr>
        <w:t xml:space="preserve"> is a soil and plant living saprophyte. </w:t>
      </w:r>
      <w:r w:rsidR="00FE2817">
        <w:rPr>
          <w:color w:val="000000" w:themeColor="text1"/>
          <w:sz w:val="22"/>
          <w:szCs w:val="22"/>
        </w:rPr>
        <w:t>The production strain</w:t>
      </w:r>
      <w:r>
        <w:rPr>
          <w:color w:val="000000" w:themeColor="text1"/>
          <w:sz w:val="22"/>
          <w:szCs w:val="22"/>
        </w:rPr>
        <w:t xml:space="preserve"> PP3930</w:t>
      </w:r>
      <w:r w:rsidR="00FE2817">
        <w:rPr>
          <w:color w:val="000000" w:themeColor="text1"/>
          <w:sz w:val="22"/>
          <w:szCs w:val="22"/>
        </w:rPr>
        <w:t xml:space="preserve"> has been engineered </w:t>
      </w:r>
      <w:r>
        <w:rPr>
          <w:color w:val="000000" w:themeColor="text1"/>
          <w:sz w:val="22"/>
          <w:szCs w:val="22"/>
        </w:rPr>
        <w:t>from a non-toxigenic isolate</w:t>
      </w:r>
      <w:r w:rsidR="008C7A14">
        <w:rPr>
          <w:color w:val="000000" w:themeColor="text1"/>
          <w:sz w:val="22"/>
          <w:szCs w:val="22"/>
        </w:rPr>
        <w:t xml:space="preserve"> (Pedersen </w:t>
      </w:r>
      <w:r w:rsidR="00F019E1" w:rsidRPr="00F019E1">
        <w:rPr>
          <w:i/>
          <w:color w:val="000000" w:themeColor="text1"/>
          <w:sz w:val="22"/>
          <w:szCs w:val="22"/>
        </w:rPr>
        <w:t>et al</w:t>
      </w:r>
      <w:r w:rsidR="008C7A14">
        <w:rPr>
          <w:color w:val="000000" w:themeColor="text1"/>
          <w:sz w:val="22"/>
          <w:szCs w:val="22"/>
        </w:rPr>
        <w:t>, 2002)</w:t>
      </w:r>
      <w:r>
        <w:rPr>
          <w:color w:val="000000" w:themeColor="text1"/>
          <w:sz w:val="22"/>
          <w:szCs w:val="22"/>
        </w:rPr>
        <w:t xml:space="preserve"> </w:t>
      </w:r>
      <w:r w:rsidR="00FE2817">
        <w:rPr>
          <w:color w:val="000000" w:themeColor="text1"/>
          <w:sz w:val="22"/>
          <w:szCs w:val="22"/>
        </w:rPr>
        <w:t>to prevent sporulation, which minimises this organism’s v</w:t>
      </w:r>
      <w:r w:rsidR="005B750E" w:rsidRPr="00026D72">
        <w:rPr>
          <w:color w:val="000000" w:themeColor="text1"/>
          <w:sz w:val="22"/>
          <w:szCs w:val="22"/>
        </w:rPr>
        <w:t xml:space="preserve">irulence </w:t>
      </w:r>
      <w:r w:rsidR="00FE2817">
        <w:rPr>
          <w:color w:val="000000" w:themeColor="text1"/>
          <w:sz w:val="22"/>
          <w:szCs w:val="22"/>
        </w:rPr>
        <w:t>and allows</w:t>
      </w:r>
      <w:r w:rsidR="005B750E" w:rsidRPr="00026D72">
        <w:rPr>
          <w:color w:val="000000" w:themeColor="text1"/>
          <w:sz w:val="22"/>
          <w:szCs w:val="22"/>
        </w:rPr>
        <w:t xml:space="preserve"> designat</w:t>
      </w:r>
      <w:r w:rsidR="00FE2817">
        <w:rPr>
          <w:color w:val="000000" w:themeColor="text1"/>
          <w:sz w:val="22"/>
          <w:szCs w:val="22"/>
        </w:rPr>
        <w:t>ion</w:t>
      </w:r>
      <w:r w:rsidR="005B750E" w:rsidRPr="00026D72">
        <w:rPr>
          <w:color w:val="000000" w:themeColor="text1"/>
          <w:sz w:val="22"/>
          <w:szCs w:val="22"/>
        </w:rPr>
        <w:t xml:space="preserve"> as </w:t>
      </w:r>
      <w:r w:rsidR="00FE2817">
        <w:rPr>
          <w:color w:val="000000" w:themeColor="text1"/>
          <w:sz w:val="22"/>
          <w:szCs w:val="22"/>
        </w:rPr>
        <w:t xml:space="preserve">a </w:t>
      </w:r>
      <w:r w:rsidR="005B750E" w:rsidRPr="00026D72">
        <w:rPr>
          <w:color w:val="000000" w:themeColor="text1"/>
          <w:sz w:val="22"/>
          <w:szCs w:val="22"/>
        </w:rPr>
        <w:t>Risk Group 1 (RG1) agent</w:t>
      </w:r>
      <w:r w:rsidR="00FE2817">
        <w:rPr>
          <w:color w:val="000000" w:themeColor="text1"/>
          <w:sz w:val="22"/>
          <w:szCs w:val="22"/>
        </w:rPr>
        <w:t>,</w:t>
      </w:r>
      <w:r w:rsidR="005B750E" w:rsidRPr="00026D72">
        <w:rPr>
          <w:color w:val="000000" w:themeColor="text1"/>
          <w:sz w:val="22"/>
          <w:szCs w:val="22"/>
        </w:rPr>
        <w:t xml:space="preserve"> not associated with disease in healthy adult humans </w:t>
      </w:r>
      <w:r w:rsidR="008C7A14">
        <w:rPr>
          <w:color w:val="000000" w:themeColor="text1"/>
          <w:sz w:val="22"/>
          <w:szCs w:val="22"/>
        </w:rPr>
        <w:t>(</w:t>
      </w:r>
      <w:r w:rsidR="005B750E" w:rsidRPr="00026D72">
        <w:rPr>
          <w:color w:val="000000" w:themeColor="text1"/>
          <w:sz w:val="22"/>
          <w:szCs w:val="22"/>
        </w:rPr>
        <w:t>NIH, 2016</w:t>
      </w:r>
      <w:r w:rsidR="008C7A14">
        <w:rPr>
          <w:color w:val="000000" w:themeColor="text1"/>
          <w:sz w:val="22"/>
          <w:szCs w:val="22"/>
        </w:rPr>
        <w:t>)</w:t>
      </w:r>
      <w:r w:rsidR="005B750E" w:rsidRPr="00026D72">
        <w:rPr>
          <w:color w:val="000000" w:themeColor="text1"/>
          <w:sz w:val="22"/>
          <w:szCs w:val="22"/>
        </w:rPr>
        <w:t xml:space="preserve">. </w:t>
      </w:r>
      <w:r w:rsidR="00150F02">
        <w:rPr>
          <w:color w:val="000000" w:themeColor="text1"/>
          <w:sz w:val="22"/>
          <w:szCs w:val="22"/>
        </w:rPr>
        <w:br w:type="page"/>
      </w:r>
    </w:p>
    <w:p w14:paraId="1E7D34A7" w14:textId="7115918F" w:rsidR="005B750E" w:rsidRPr="00026D72" w:rsidRDefault="00AF3694" w:rsidP="00DC5F0E">
      <w:pPr>
        <w:pStyle w:val="Default"/>
        <w:rPr>
          <w:color w:val="000000" w:themeColor="text1"/>
          <w:sz w:val="22"/>
          <w:szCs w:val="22"/>
        </w:rPr>
      </w:pPr>
      <w:r>
        <w:rPr>
          <w:color w:val="000000" w:themeColor="text1"/>
          <w:sz w:val="22"/>
          <w:szCs w:val="22"/>
        </w:rPr>
        <w:lastRenderedPageBreak/>
        <w:t xml:space="preserve">Although toxigenic </w:t>
      </w:r>
      <w:r w:rsidR="006C52DD">
        <w:rPr>
          <w:color w:val="000000" w:themeColor="text1"/>
          <w:sz w:val="22"/>
          <w:szCs w:val="22"/>
        </w:rPr>
        <w:t>and spor</w:t>
      </w:r>
      <w:r w:rsidR="000A2E45">
        <w:rPr>
          <w:color w:val="000000" w:themeColor="text1"/>
          <w:sz w:val="22"/>
          <w:szCs w:val="22"/>
        </w:rPr>
        <w:t>e-forming</w:t>
      </w:r>
      <w:r w:rsidR="006C52DD">
        <w:rPr>
          <w:color w:val="000000" w:themeColor="text1"/>
          <w:sz w:val="22"/>
          <w:szCs w:val="22"/>
        </w:rPr>
        <w:t xml:space="preserve"> strains</w:t>
      </w:r>
      <w:r>
        <w:rPr>
          <w:color w:val="000000" w:themeColor="text1"/>
          <w:sz w:val="22"/>
          <w:szCs w:val="22"/>
        </w:rPr>
        <w:t xml:space="preserve"> of </w:t>
      </w:r>
      <w:r w:rsidR="005B750E" w:rsidRPr="00026D72">
        <w:rPr>
          <w:i/>
          <w:iCs/>
          <w:sz w:val="22"/>
          <w:szCs w:val="22"/>
        </w:rPr>
        <w:t xml:space="preserve">B. licheniformis </w:t>
      </w:r>
      <w:r w:rsidR="005B750E" w:rsidRPr="00026D72">
        <w:rPr>
          <w:sz w:val="22"/>
          <w:szCs w:val="22"/>
        </w:rPr>
        <w:t>have been</w:t>
      </w:r>
      <w:r>
        <w:rPr>
          <w:sz w:val="22"/>
          <w:szCs w:val="22"/>
        </w:rPr>
        <w:t xml:space="preserve"> isolated from raw milk, milk products and </w:t>
      </w:r>
      <w:r w:rsidRPr="00026D72">
        <w:rPr>
          <w:color w:val="333333"/>
          <w:sz w:val="22"/>
          <w:szCs w:val="22"/>
        </w:rPr>
        <w:t>commercially-produced baby food</w:t>
      </w:r>
      <w:r>
        <w:rPr>
          <w:sz w:val="22"/>
          <w:szCs w:val="22"/>
        </w:rPr>
        <w:t xml:space="preserve"> (</w:t>
      </w:r>
      <w:r w:rsidR="00CC4A89">
        <w:rPr>
          <w:sz w:val="22"/>
          <w:szCs w:val="22"/>
        </w:rPr>
        <w:t xml:space="preserve">Gopal </w:t>
      </w:r>
      <w:r w:rsidR="00F019E1" w:rsidRPr="00F019E1">
        <w:rPr>
          <w:i/>
          <w:sz w:val="22"/>
          <w:szCs w:val="22"/>
        </w:rPr>
        <w:t>et al</w:t>
      </w:r>
      <w:r w:rsidR="00CC4A89">
        <w:rPr>
          <w:sz w:val="22"/>
          <w:szCs w:val="22"/>
        </w:rPr>
        <w:t>, 2015</w:t>
      </w:r>
      <w:r>
        <w:rPr>
          <w:sz w:val="22"/>
          <w:szCs w:val="22"/>
        </w:rPr>
        <w:t xml:space="preserve">) </w:t>
      </w:r>
      <w:r w:rsidR="006C52DD">
        <w:rPr>
          <w:sz w:val="22"/>
          <w:szCs w:val="22"/>
        </w:rPr>
        <w:t xml:space="preserve">the incidence of </w:t>
      </w:r>
      <w:r w:rsidR="00CC4A89">
        <w:rPr>
          <w:sz w:val="22"/>
          <w:szCs w:val="22"/>
        </w:rPr>
        <w:t xml:space="preserve">human </w:t>
      </w:r>
      <w:r w:rsidR="006C52DD">
        <w:rPr>
          <w:sz w:val="22"/>
          <w:szCs w:val="22"/>
        </w:rPr>
        <w:t>infections and pathogenicity is rare and tends to be limited to immune-compromised individuals (</w:t>
      </w:r>
      <w:r w:rsidR="005B750E" w:rsidRPr="00026D72">
        <w:rPr>
          <w:sz w:val="22"/>
          <w:szCs w:val="22"/>
        </w:rPr>
        <w:t xml:space="preserve">Haydushka </w:t>
      </w:r>
      <w:r w:rsidR="00F019E1" w:rsidRPr="00F019E1">
        <w:rPr>
          <w:i/>
          <w:sz w:val="22"/>
          <w:szCs w:val="22"/>
        </w:rPr>
        <w:t>et al</w:t>
      </w:r>
      <w:r w:rsidR="005B750E" w:rsidRPr="00026D72">
        <w:rPr>
          <w:sz w:val="22"/>
          <w:szCs w:val="22"/>
        </w:rPr>
        <w:t xml:space="preserve">, 2012; </w:t>
      </w:r>
      <w:r w:rsidR="006C52DD">
        <w:rPr>
          <w:sz w:val="22"/>
          <w:szCs w:val="22"/>
        </w:rPr>
        <w:t>Logan, 2012; EPA, 1997)</w:t>
      </w:r>
      <w:r w:rsidR="005B750E" w:rsidRPr="00026D72">
        <w:rPr>
          <w:sz w:val="22"/>
          <w:szCs w:val="22"/>
        </w:rPr>
        <w:t xml:space="preserve">. </w:t>
      </w:r>
    </w:p>
    <w:p w14:paraId="44599A19" w14:textId="77777777" w:rsidR="005B750E" w:rsidRPr="00026D72" w:rsidRDefault="005B750E" w:rsidP="00DC5F0E">
      <w:pPr>
        <w:autoSpaceDE w:val="0"/>
        <w:autoSpaceDN w:val="0"/>
        <w:adjustRightInd w:val="0"/>
        <w:rPr>
          <w:rFonts w:cs="Arial"/>
          <w:color w:val="000000"/>
          <w:szCs w:val="22"/>
        </w:rPr>
      </w:pPr>
    </w:p>
    <w:p w14:paraId="3C798A19" w14:textId="7BE8D896" w:rsidR="005B750E" w:rsidRPr="00026D72" w:rsidRDefault="006C52DD" w:rsidP="00DC5F0E">
      <w:pPr>
        <w:autoSpaceDE w:val="0"/>
        <w:autoSpaceDN w:val="0"/>
        <w:adjustRightInd w:val="0"/>
        <w:rPr>
          <w:rFonts w:cs="Arial"/>
          <w:color w:val="333333"/>
          <w:szCs w:val="22"/>
        </w:rPr>
      </w:pPr>
      <w:r w:rsidRPr="006C52DD">
        <w:rPr>
          <w:rFonts w:cs="Arial"/>
          <w:iCs/>
          <w:color w:val="000000"/>
          <w:szCs w:val="22"/>
        </w:rPr>
        <w:t>Industrial</w:t>
      </w:r>
      <w:r>
        <w:rPr>
          <w:rFonts w:cs="Arial"/>
          <w:i/>
          <w:iCs/>
          <w:color w:val="000000"/>
          <w:szCs w:val="22"/>
        </w:rPr>
        <w:t xml:space="preserve"> </w:t>
      </w:r>
      <w:r w:rsidRPr="006C52DD">
        <w:rPr>
          <w:rFonts w:cs="Arial"/>
          <w:iCs/>
          <w:color w:val="000000"/>
          <w:szCs w:val="22"/>
        </w:rPr>
        <w:t>strains of</w:t>
      </w:r>
      <w:r w:rsidRPr="006C52DD">
        <w:rPr>
          <w:rFonts w:cs="Arial"/>
          <w:i/>
          <w:iCs/>
          <w:color w:val="000000"/>
          <w:szCs w:val="22"/>
        </w:rPr>
        <w:t xml:space="preserve"> </w:t>
      </w:r>
      <w:r w:rsidR="005B750E" w:rsidRPr="00026D72">
        <w:rPr>
          <w:rFonts w:cs="Arial"/>
          <w:i/>
          <w:iCs/>
          <w:color w:val="000000"/>
          <w:szCs w:val="22"/>
        </w:rPr>
        <w:t>B. licheniformis</w:t>
      </w:r>
      <w:r>
        <w:rPr>
          <w:rFonts w:cs="Arial"/>
          <w:iCs/>
          <w:color w:val="000000"/>
          <w:szCs w:val="22"/>
        </w:rPr>
        <w:t xml:space="preserve"> are</w:t>
      </w:r>
      <w:r w:rsidR="005B750E" w:rsidRPr="00026D72">
        <w:rPr>
          <w:rFonts w:cs="Arial"/>
          <w:color w:val="000000"/>
          <w:szCs w:val="22"/>
        </w:rPr>
        <w:t xml:space="preserve"> widely used to produce food-grade enzymes. FSANZ has previously assessed the safety of </w:t>
      </w:r>
      <w:r w:rsidR="005B750E" w:rsidRPr="00026D72">
        <w:rPr>
          <w:rFonts w:cs="Arial"/>
          <w:i/>
          <w:iCs/>
          <w:color w:val="333333"/>
          <w:szCs w:val="22"/>
        </w:rPr>
        <w:t xml:space="preserve">B. licheniformis </w:t>
      </w:r>
      <w:r w:rsidR="005B750E" w:rsidRPr="00026D72">
        <w:rPr>
          <w:rFonts w:cs="Arial"/>
          <w:color w:val="000000"/>
          <w:szCs w:val="22"/>
        </w:rPr>
        <w:t xml:space="preserve">as the source organism for a number of food processing aids and the following enzymes derived from </w:t>
      </w:r>
      <w:r w:rsidR="005B750E" w:rsidRPr="00026D72">
        <w:rPr>
          <w:rFonts w:cs="Arial"/>
          <w:i/>
          <w:iCs/>
          <w:color w:val="333333"/>
          <w:szCs w:val="22"/>
        </w:rPr>
        <w:t xml:space="preserve">B. licheniformis </w:t>
      </w:r>
      <w:r w:rsidR="005B750E" w:rsidRPr="00026D72">
        <w:rPr>
          <w:rFonts w:cs="Arial"/>
          <w:color w:val="333333"/>
          <w:szCs w:val="22"/>
        </w:rPr>
        <w:t>(both GM and non-GM)</w:t>
      </w:r>
      <w:r w:rsidR="005B750E" w:rsidRPr="00026D72">
        <w:rPr>
          <w:rFonts w:cs="Arial"/>
          <w:color w:val="000000"/>
          <w:szCs w:val="22"/>
        </w:rPr>
        <w:t xml:space="preserve"> are listed in Schedule 18 as permitted in Standard 1.3.3 of the Code</w:t>
      </w:r>
      <w:r w:rsidR="005B750E" w:rsidRPr="00026D72">
        <w:rPr>
          <w:rFonts w:cs="Arial"/>
          <w:color w:val="333333"/>
          <w:szCs w:val="22"/>
        </w:rPr>
        <w:t xml:space="preserve">: </w:t>
      </w:r>
      <w:r w:rsidR="005B750E" w:rsidRPr="00026D72">
        <w:rPr>
          <w:rFonts w:eastAsia="SymbolMT" w:cs="Arial"/>
          <w:color w:val="333333"/>
          <w:szCs w:val="22"/>
        </w:rPr>
        <w:t>α</w:t>
      </w:r>
      <w:r w:rsidR="005B750E" w:rsidRPr="00026D72">
        <w:rPr>
          <w:rFonts w:cs="Arial"/>
          <w:color w:val="333333"/>
          <w:szCs w:val="22"/>
        </w:rPr>
        <w:t>-amylase, chymotrypsin, endo-1,4-</w:t>
      </w:r>
      <w:r w:rsidR="005B750E" w:rsidRPr="00026D72">
        <w:rPr>
          <w:rFonts w:cs="Arial"/>
          <w:szCs w:val="22"/>
        </w:rPr>
        <w:t>β</w:t>
      </w:r>
      <w:r w:rsidR="005B750E" w:rsidRPr="00026D72">
        <w:rPr>
          <w:rFonts w:cs="Arial"/>
          <w:color w:val="333333"/>
          <w:szCs w:val="22"/>
        </w:rPr>
        <w:t>-xylanase, glycerophospholipid cholesterol acyltransferase, maltotetra</w:t>
      </w:r>
      <w:r w:rsidR="00DC5F0E">
        <w:rPr>
          <w:rFonts w:cs="Arial"/>
          <w:color w:val="333333"/>
          <w:szCs w:val="22"/>
        </w:rPr>
        <w:t>o</w:t>
      </w:r>
      <w:r w:rsidR="005B750E" w:rsidRPr="00026D72">
        <w:rPr>
          <w:rFonts w:cs="Arial"/>
          <w:color w:val="333333"/>
          <w:szCs w:val="22"/>
        </w:rPr>
        <w:t xml:space="preserve">hydrolase, pullulanase and serine proteinase. </w:t>
      </w:r>
    </w:p>
    <w:p w14:paraId="1DB3B2D5" w14:textId="77777777" w:rsidR="005B750E" w:rsidRPr="00026D72" w:rsidRDefault="005B750E" w:rsidP="00DC5F0E">
      <w:pPr>
        <w:autoSpaceDE w:val="0"/>
        <w:autoSpaceDN w:val="0"/>
        <w:adjustRightInd w:val="0"/>
        <w:rPr>
          <w:rFonts w:cs="Arial"/>
          <w:color w:val="000000"/>
          <w:szCs w:val="22"/>
        </w:rPr>
      </w:pPr>
    </w:p>
    <w:p w14:paraId="11E04F60" w14:textId="14CF8CA3" w:rsidR="005B750E" w:rsidRPr="00026D72" w:rsidRDefault="005B750E" w:rsidP="00DC5F0E">
      <w:pPr>
        <w:autoSpaceDE w:val="0"/>
        <w:autoSpaceDN w:val="0"/>
        <w:adjustRightInd w:val="0"/>
        <w:rPr>
          <w:rFonts w:cs="Arial"/>
          <w:szCs w:val="22"/>
        </w:rPr>
      </w:pPr>
      <w:r w:rsidRPr="00026D72">
        <w:rPr>
          <w:rFonts w:cs="Arial"/>
          <w:color w:val="000000"/>
          <w:szCs w:val="22"/>
        </w:rPr>
        <w:t xml:space="preserve">Data submitted </w:t>
      </w:r>
      <w:r w:rsidR="002A5981">
        <w:rPr>
          <w:rFonts w:cs="Arial"/>
          <w:color w:val="000000"/>
          <w:szCs w:val="22"/>
        </w:rPr>
        <w:t>by</w:t>
      </w:r>
      <w:r w:rsidRPr="00026D72">
        <w:rPr>
          <w:rFonts w:cs="Arial"/>
          <w:color w:val="000000"/>
          <w:szCs w:val="22"/>
        </w:rPr>
        <w:t xml:space="preserve"> the Applicant indicated that </w:t>
      </w:r>
      <w:r w:rsidRPr="00026D72">
        <w:rPr>
          <w:rFonts w:cs="Arial"/>
          <w:i/>
          <w:iCs/>
          <w:color w:val="333333"/>
          <w:szCs w:val="22"/>
        </w:rPr>
        <w:t xml:space="preserve">B. licheniformis </w:t>
      </w:r>
      <w:r w:rsidRPr="00026D72">
        <w:rPr>
          <w:rFonts w:cs="Arial"/>
          <w:iCs/>
          <w:color w:val="333333"/>
          <w:szCs w:val="22"/>
        </w:rPr>
        <w:t>PP3930</w:t>
      </w:r>
      <w:r w:rsidRPr="00026D72">
        <w:rPr>
          <w:rFonts w:cs="Arial"/>
          <w:i/>
          <w:iCs/>
          <w:color w:val="333333"/>
          <w:szCs w:val="22"/>
        </w:rPr>
        <w:t xml:space="preserve"> </w:t>
      </w:r>
      <w:r w:rsidRPr="00026D72">
        <w:rPr>
          <w:rFonts w:cs="Arial"/>
          <w:color w:val="333333"/>
          <w:szCs w:val="22"/>
        </w:rPr>
        <w:t xml:space="preserve">is not detectable in the final enzyme preparation to be used as a food processing aid. The organism is removed during a multi-step recovery of the purified enzyme following </w:t>
      </w:r>
      <w:r w:rsidRPr="00026D72">
        <w:rPr>
          <w:rFonts w:cs="Arial"/>
          <w:szCs w:val="22"/>
        </w:rPr>
        <w:t>submerged fed-batch pure culture fermentation. The final stage involves filtrations at defined pH and temperature intervals that result in an enzyme concentrate solution free of the production strain.</w:t>
      </w:r>
    </w:p>
    <w:p w14:paraId="6551DFFA" w14:textId="77777777" w:rsidR="005B750E" w:rsidRPr="00026D72" w:rsidRDefault="005B750E" w:rsidP="00A60016">
      <w:pPr>
        <w:autoSpaceDE w:val="0"/>
        <w:autoSpaceDN w:val="0"/>
        <w:adjustRightInd w:val="0"/>
        <w:rPr>
          <w:rFonts w:cs="Arial"/>
          <w:szCs w:val="22"/>
        </w:rPr>
      </w:pPr>
    </w:p>
    <w:p w14:paraId="5C29AC49" w14:textId="31B72C7C" w:rsidR="00D717AD" w:rsidRDefault="007E39B0" w:rsidP="00D717AD">
      <w:pPr>
        <w:rPr>
          <w:rFonts w:cs="Arial"/>
          <w:color w:val="000000"/>
          <w:szCs w:val="22"/>
        </w:rPr>
      </w:pPr>
      <w:r>
        <w:rPr>
          <w:rFonts w:cs="Arial"/>
          <w:color w:val="000000" w:themeColor="text1"/>
        </w:rPr>
        <w:t xml:space="preserve">The Applicant also provided data </w:t>
      </w:r>
      <w:r w:rsidR="00186304">
        <w:rPr>
          <w:rFonts w:cs="Arial"/>
          <w:color w:val="000000" w:themeColor="text1"/>
        </w:rPr>
        <w:t xml:space="preserve">from Southern blot analyses to demonstrate </w:t>
      </w:r>
      <w:r w:rsidR="00D717AD" w:rsidRPr="00F16BDB">
        <w:rPr>
          <w:rFonts w:cs="Arial"/>
          <w:color w:val="000000"/>
          <w:szCs w:val="22"/>
        </w:rPr>
        <w:t xml:space="preserve">that the introduced DNA has been stably integrated into the </w:t>
      </w:r>
      <w:r w:rsidR="00D717AD">
        <w:rPr>
          <w:rFonts w:cs="Arial"/>
          <w:color w:val="000000"/>
          <w:szCs w:val="22"/>
        </w:rPr>
        <w:t>production strain’s</w:t>
      </w:r>
      <w:r w:rsidR="00D717AD" w:rsidRPr="00F16BDB">
        <w:rPr>
          <w:rFonts w:cs="Arial"/>
          <w:color w:val="000000"/>
          <w:szCs w:val="22"/>
        </w:rPr>
        <w:t xml:space="preserve"> genome.</w:t>
      </w:r>
      <w:r w:rsidR="00D717AD">
        <w:rPr>
          <w:rFonts w:cs="Arial"/>
          <w:color w:val="000000"/>
          <w:szCs w:val="22"/>
        </w:rPr>
        <w:t xml:space="preserve"> </w:t>
      </w:r>
    </w:p>
    <w:p w14:paraId="3CC85F25" w14:textId="77777777" w:rsidR="00D717AD" w:rsidRDefault="00D717AD" w:rsidP="00D717AD">
      <w:pPr>
        <w:rPr>
          <w:rFonts w:cs="Arial"/>
          <w:color w:val="000000"/>
          <w:szCs w:val="22"/>
        </w:rPr>
      </w:pPr>
    </w:p>
    <w:p w14:paraId="6E82EC4D" w14:textId="146D72D1" w:rsidR="005B750E" w:rsidRPr="00D717AD" w:rsidRDefault="00D717AD" w:rsidP="00D717AD">
      <w:pPr>
        <w:rPr>
          <w:rFonts w:cs="Arial"/>
          <w:color w:val="000000"/>
          <w:szCs w:val="22"/>
        </w:rPr>
      </w:pPr>
      <w:r>
        <w:rPr>
          <w:rFonts w:cs="Arial"/>
          <w:color w:val="000000"/>
          <w:szCs w:val="22"/>
        </w:rPr>
        <w:t>Full details on the genetic stability of the insert in the production organism were provided as “Confidential Commercial Information”.</w:t>
      </w:r>
    </w:p>
    <w:p w14:paraId="27792376" w14:textId="071F1936" w:rsidR="00337FF5" w:rsidRPr="00DD6B6A" w:rsidRDefault="00337FF5" w:rsidP="00337FF5">
      <w:pPr>
        <w:pStyle w:val="Heading2"/>
      </w:pPr>
      <w:bookmarkStart w:id="23" w:name="_Toc473540361"/>
      <w:r w:rsidRPr="00DD6B6A">
        <w:t>3.3</w:t>
      </w:r>
      <w:r w:rsidRPr="00DD6B6A">
        <w:tab/>
        <w:t xml:space="preserve">Hazard of the </w:t>
      </w:r>
      <w:r w:rsidR="005B750E" w:rsidRPr="005B750E">
        <w:t>encoded protein – β-galactosidase (E.C. 3.2.1.23)</w:t>
      </w:r>
      <w:bookmarkEnd w:id="23"/>
    </w:p>
    <w:p w14:paraId="6D523237" w14:textId="5FFF1A74" w:rsidR="00337FF5" w:rsidRPr="00DD6B6A" w:rsidRDefault="00337FF5" w:rsidP="00337FF5">
      <w:pPr>
        <w:pStyle w:val="Heading3"/>
      </w:pPr>
      <w:bookmarkStart w:id="24" w:name="_Toc473540362"/>
      <w:r w:rsidRPr="00DD6B6A">
        <w:t>3.3.1</w:t>
      </w:r>
      <w:r w:rsidRPr="00DD6B6A">
        <w:tab/>
        <w:t xml:space="preserve">History of </w:t>
      </w:r>
      <w:r w:rsidR="0058504E">
        <w:t>u</w:t>
      </w:r>
      <w:r w:rsidRPr="00DD6B6A">
        <w:t>se</w:t>
      </w:r>
      <w:bookmarkEnd w:id="24"/>
    </w:p>
    <w:p w14:paraId="620F976B" w14:textId="6133F04B" w:rsidR="00662D0C" w:rsidRDefault="005B750E" w:rsidP="008D614B">
      <w:r>
        <w:rPr>
          <w:rFonts w:cs="Arial"/>
        </w:rPr>
        <w:t>β</w:t>
      </w:r>
      <w:r>
        <w:t xml:space="preserve">-galactosidase is an enzyme used as a processing aid for the production of reduced lactose or lactose-free dairy products. </w:t>
      </w:r>
      <w:r>
        <w:lastRenderedPageBreak/>
        <w:t xml:space="preserve">This enzyme catalyses the hydrolysis of </w:t>
      </w:r>
      <w:r>
        <w:rPr>
          <w:rFonts w:cs="Arial"/>
        </w:rPr>
        <w:t>β</w:t>
      </w:r>
      <w:r w:rsidR="000A2E45">
        <w:t xml:space="preserve">-D-galactosides, </w:t>
      </w:r>
      <w:r>
        <w:t xml:space="preserve">such as lactose, into glucose and galactose. </w:t>
      </w:r>
      <w:r w:rsidR="00662D0C">
        <w:t xml:space="preserve">FSANZ has previously accessed the safety of </w:t>
      </w:r>
      <w:r w:rsidR="00662D0C">
        <w:rPr>
          <w:rFonts w:cs="Arial"/>
        </w:rPr>
        <w:t>β</w:t>
      </w:r>
      <w:r w:rsidR="00662D0C">
        <w:t xml:space="preserve">-galactosidase from a variety of microorganisms and these are listed in Schedule 18 as permitted in Standard 1.3.3 of the code: </w:t>
      </w:r>
      <w:r w:rsidR="00662D0C" w:rsidRPr="00662D0C">
        <w:rPr>
          <w:i/>
        </w:rPr>
        <w:t xml:space="preserve">Aspergillus niger, </w:t>
      </w:r>
      <w:r w:rsidR="0058504E" w:rsidRPr="00662D0C">
        <w:rPr>
          <w:i/>
        </w:rPr>
        <w:t>A</w:t>
      </w:r>
      <w:r w:rsidR="0058504E">
        <w:rPr>
          <w:i/>
        </w:rPr>
        <w:t>.</w:t>
      </w:r>
      <w:r w:rsidR="0058504E" w:rsidRPr="00662D0C">
        <w:rPr>
          <w:i/>
        </w:rPr>
        <w:t xml:space="preserve"> </w:t>
      </w:r>
      <w:r w:rsidR="00662D0C" w:rsidRPr="00662D0C">
        <w:rPr>
          <w:i/>
        </w:rPr>
        <w:t xml:space="preserve">oryzae, Bacillus circulans, Kluyveromyces marxianus and </w:t>
      </w:r>
      <w:r w:rsidR="0058504E" w:rsidRPr="00662D0C">
        <w:rPr>
          <w:i/>
        </w:rPr>
        <w:t>K</w:t>
      </w:r>
      <w:r w:rsidR="0058504E">
        <w:rPr>
          <w:i/>
        </w:rPr>
        <w:t>.</w:t>
      </w:r>
      <w:r w:rsidR="004B53ED">
        <w:rPr>
          <w:i/>
        </w:rPr>
        <w:t xml:space="preserve"> </w:t>
      </w:r>
      <w:r w:rsidR="00662D0C" w:rsidRPr="00662D0C">
        <w:rPr>
          <w:i/>
        </w:rPr>
        <w:t>lactis</w:t>
      </w:r>
      <w:r w:rsidR="00662D0C">
        <w:t>.</w:t>
      </w:r>
    </w:p>
    <w:p w14:paraId="688BB98B" w14:textId="77777777" w:rsidR="00662D0C" w:rsidRDefault="00662D0C" w:rsidP="008D614B"/>
    <w:p w14:paraId="5F84C0FE" w14:textId="631231FB" w:rsidR="005B750E" w:rsidRDefault="005B750E" w:rsidP="008D614B">
      <w:r>
        <w:t xml:space="preserve">The commercial enzyme preparation from the Applicant, known as Saphera, is available as a liquid product containing 60% </w:t>
      </w:r>
      <w:r w:rsidR="00D22256">
        <w:t xml:space="preserve">(w/w) </w:t>
      </w:r>
      <w:r>
        <w:t xml:space="preserve">glycerol, to stabilise the enzyme, and water. There are two strengths of </w:t>
      </w:r>
      <w:r w:rsidR="00D22256">
        <w:t xml:space="preserve">the </w:t>
      </w:r>
      <w:r>
        <w:t>enzyme available, based on the activity of the lactase. These are Saphera 900 LS and Saphera 2600 LS, containing lactase with an activity of 900 and 2600</w:t>
      </w:r>
      <w:r w:rsidR="00E90471">
        <w:t xml:space="preserve"> lactase activity units</w:t>
      </w:r>
      <w:r>
        <w:t xml:space="preserve"> </w:t>
      </w:r>
      <w:r w:rsidR="00E90471">
        <w:t>(</w:t>
      </w:r>
      <w:r>
        <w:t>LAU</w:t>
      </w:r>
      <w:r w:rsidR="00E90471">
        <w:t>)</w:t>
      </w:r>
      <w:r>
        <w:t>/g respectively.</w:t>
      </w:r>
    </w:p>
    <w:p w14:paraId="02ECBB93" w14:textId="77777777" w:rsidR="005B750E" w:rsidRDefault="005B750E" w:rsidP="008D614B">
      <w:pPr>
        <w:rPr>
          <w:rFonts w:cs="Arial"/>
          <w:b/>
          <w:i/>
          <w:color w:val="000000" w:themeColor="text1"/>
        </w:rPr>
      </w:pPr>
    </w:p>
    <w:p w14:paraId="4EE4AE13" w14:textId="662649E9" w:rsidR="005B750E" w:rsidRDefault="005B750E" w:rsidP="008D614B">
      <w:pPr>
        <w:autoSpaceDE w:val="0"/>
        <w:autoSpaceDN w:val="0"/>
        <w:adjustRightInd w:val="0"/>
        <w:rPr>
          <w:rFonts w:cs="Arial"/>
        </w:rPr>
      </w:pPr>
      <w:r>
        <w:rPr>
          <w:rFonts w:cs="Arial"/>
        </w:rPr>
        <w:t xml:space="preserve">The U.S. </w:t>
      </w:r>
      <w:r w:rsidR="00E2435D">
        <w:rPr>
          <w:rFonts w:cs="Arial"/>
        </w:rPr>
        <w:t>Food &amp; Drug Administration (</w:t>
      </w:r>
      <w:r>
        <w:rPr>
          <w:rFonts w:cs="Arial"/>
        </w:rPr>
        <w:t>FDA</w:t>
      </w:r>
      <w:r w:rsidR="00E2435D">
        <w:rPr>
          <w:rFonts w:cs="Arial"/>
        </w:rPr>
        <w:t>)</w:t>
      </w:r>
      <w:r>
        <w:rPr>
          <w:rFonts w:cs="Arial"/>
        </w:rPr>
        <w:t xml:space="preserve"> has granted </w:t>
      </w:r>
      <w:r w:rsidR="00E2435D">
        <w:rPr>
          <w:rFonts w:cs="Arial"/>
        </w:rPr>
        <w:t>Generally Recognised as Safe (</w:t>
      </w:r>
      <w:r>
        <w:rPr>
          <w:rFonts w:cs="Arial"/>
        </w:rPr>
        <w:t>GRAS</w:t>
      </w:r>
      <w:r w:rsidR="00E2435D">
        <w:rPr>
          <w:rFonts w:cs="Arial"/>
        </w:rPr>
        <w:t>) status</w:t>
      </w:r>
      <w:r>
        <w:rPr>
          <w:rFonts w:cs="Arial"/>
        </w:rPr>
        <w:t xml:space="preserve"> to the enzyme preparation under the intended conditions of use </w:t>
      </w:r>
      <w:r w:rsidR="005D4E06">
        <w:rPr>
          <w:rFonts w:cs="Arial"/>
        </w:rPr>
        <w:t>(</w:t>
      </w:r>
      <w:r>
        <w:rPr>
          <w:rFonts w:cs="Arial"/>
        </w:rPr>
        <w:t>FDA, 2015</w:t>
      </w:r>
      <w:r w:rsidR="005D4E06">
        <w:rPr>
          <w:rFonts w:cs="Arial"/>
        </w:rPr>
        <w:t>)</w:t>
      </w:r>
      <w:r>
        <w:rPr>
          <w:rFonts w:cs="Arial"/>
        </w:rPr>
        <w:t xml:space="preserve">. The Danish Veterinary and Food Administration have also </w:t>
      </w:r>
      <w:r w:rsidR="00D22256">
        <w:rPr>
          <w:rFonts w:cs="Arial"/>
        </w:rPr>
        <w:t xml:space="preserve">approved </w:t>
      </w:r>
      <w:r>
        <w:rPr>
          <w:rFonts w:cs="Arial"/>
        </w:rPr>
        <w:t>t</w:t>
      </w:r>
      <w:r w:rsidR="005D4E06">
        <w:rPr>
          <w:rFonts w:cs="Arial"/>
        </w:rPr>
        <w:t>he enzyme for the intended use (</w:t>
      </w:r>
      <w:r>
        <w:rPr>
          <w:rFonts w:cs="Arial"/>
        </w:rPr>
        <w:t>DVFA, 2015</w:t>
      </w:r>
      <w:r w:rsidR="005D4E06">
        <w:rPr>
          <w:rFonts w:cs="Arial"/>
        </w:rPr>
        <w:t>)</w:t>
      </w:r>
      <w:r>
        <w:rPr>
          <w:rFonts w:cs="Arial"/>
        </w:rPr>
        <w:t xml:space="preserve">. The Applicant has </w:t>
      </w:r>
      <w:r w:rsidR="00221BD3">
        <w:rPr>
          <w:rFonts w:cs="Arial"/>
        </w:rPr>
        <w:t xml:space="preserve">stated </w:t>
      </w:r>
      <w:r>
        <w:rPr>
          <w:rFonts w:cs="Arial"/>
        </w:rPr>
        <w:t xml:space="preserve">that the Mexican Federal Committee for Protection from Sanitary Risks (COFEPRIS) has </w:t>
      </w:r>
      <w:r w:rsidR="006D4230">
        <w:rPr>
          <w:rFonts w:cs="Arial"/>
        </w:rPr>
        <w:t xml:space="preserve">approved </w:t>
      </w:r>
      <w:r>
        <w:rPr>
          <w:rFonts w:cs="Arial"/>
        </w:rPr>
        <w:t xml:space="preserve">the enzyme product for </w:t>
      </w:r>
      <w:r w:rsidR="006D4230">
        <w:rPr>
          <w:rFonts w:cs="Arial"/>
        </w:rPr>
        <w:t xml:space="preserve">food applications </w:t>
      </w:r>
      <w:r>
        <w:rPr>
          <w:rFonts w:cs="Arial"/>
        </w:rPr>
        <w:t xml:space="preserve">but </w:t>
      </w:r>
      <w:r w:rsidR="00221BD3">
        <w:rPr>
          <w:rFonts w:cs="Arial"/>
        </w:rPr>
        <w:t xml:space="preserve">the Applicant did </w:t>
      </w:r>
      <w:r>
        <w:rPr>
          <w:rFonts w:cs="Arial"/>
        </w:rPr>
        <w:t>not provided evidence of this acceptance.</w:t>
      </w:r>
    </w:p>
    <w:p w14:paraId="3DE0576B" w14:textId="77777777" w:rsidR="00150F02" w:rsidRDefault="00150F02" w:rsidP="008D614B">
      <w:pPr>
        <w:pStyle w:val="Heading3"/>
      </w:pPr>
      <w:bookmarkStart w:id="25" w:name="_Toc473540363"/>
      <w:r>
        <w:br w:type="page"/>
      </w:r>
    </w:p>
    <w:p w14:paraId="4B4B509E" w14:textId="5DBD2FD1" w:rsidR="00337FF5" w:rsidRPr="00DD6B6A" w:rsidRDefault="00337FF5" w:rsidP="008D614B">
      <w:pPr>
        <w:pStyle w:val="Heading3"/>
      </w:pPr>
      <w:r w:rsidRPr="00DD6B6A">
        <w:lastRenderedPageBreak/>
        <w:t>3.3.2</w:t>
      </w:r>
      <w:r w:rsidRPr="00DD6B6A">
        <w:tab/>
        <w:t>Bioinformatic analysis for potential allergenicity</w:t>
      </w:r>
      <w:bookmarkEnd w:id="25"/>
      <w:r w:rsidRPr="00DD6B6A">
        <w:t xml:space="preserve"> </w:t>
      </w:r>
    </w:p>
    <w:p w14:paraId="27501E26" w14:textId="252D2C2F" w:rsidR="005B750E" w:rsidRDefault="00337FF5" w:rsidP="008D614B">
      <w:pPr>
        <w:rPr>
          <w:lang w:eastAsia="en-AU" w:bidi="ar-SA"/>
        </w:rPr>
      </w:pPr>
      <w:r>
        <w:rPr>
          <w:lang w:eastAsia="en-AU" w:bidi="ar-SA"/>
        </w:rPr>
        <w:t>The Applicant has provided the results of an</w:t>
      </w:r>
      <w:r w:rsidRPr="00DD6B6A">
        <w:rPr>
          <w:lang w:eastAsia="en-AU" w:bidi="ar-SA"/>
        </w:rPr>
        <w:t xml:space="preserve"> </w:t>
      </w:r>
      <w:r w:rsidRPr="00DD6B6A">
        <w:rPr>
          <w:i/>
          <w:lang w:eastAsia="en-AU" w:bidi="ar-SA"/>
        </w:rPr>
        <w:t>in silico</w:t>
      </w:r>
      <w:r w:rsidRPr="00DD6B6A">
        <w:rPr>
          <w:lang w:eastAsia="en-AU" w:bidi="ar-SA"/>
        </w:rPr>
        <w:t xml:space="preserve"> analysis</w:t>
      </w:r>
      <w:r w:rsidR="005B750E">
        <w:rPr>
          <w:lang w:eastAsia="en-AU" w:bidi="ar-SA"/>
        </w:rPr>
        <w:t xml:space="preserve"> </w:t>
      </w:r>
      <w:r w:rsidR="005B750E">
        <w:t xml:space="preserve">comparing the lactase amino acid sequence from </w:t>
      </w:r>
      <w:r w:rsidR="005B750E">
        <w:rPr>
          <w:rFonts w:cs="Arial"/>
          <w:i/>
          <w:color w:val="000000" w:themeColor="text1"/>
        </w:rPr>
        <w:t xml:space="preserve">B. </w:t>
      </w:r>
      <w:r w:rsidR="005B750E" w:rsidRPr="00A1396C">
        <w:rPr>
          <w:rFonts w:cs="Arial"/>
          <w:i/>
          <w:color w:val="000000" w:themeColor="text1"/>
        </w:rPr>
        <w:t>licheniformis</w:t>
      </w:r>
      <w:r w:rsidR="005B750E">
        <w:t xml:space="preserve"> to known allergenic proteins in the Food Allergy Research and Resource Program dataset, which is available through </w:t>
      </w:r>
      <w:hyperlink r:id="rId23" w:history="1">
        <w:r w:rsidR="005B750E" w:rsidRPr="00062C85">
          <w:rPr>
            <w:rStyle w:val="Hyperlink"/>
          </w:rPr>
          <w:t>AllergenOnline</w:t>
        </w:r>
      </w:hyperlink>
      <w:r w:rsidR="00602089">
        <w:rPr>
          <w:rStyle w:val="FootnoteReference"/>
          <w:color w:val="3333FF"/>
          <w:u w:val="single"/>
        </w:rPr>
        <w:footnoteReference w:id="5"/>
      </w:r>
      <w:r w:rsidR="005B750E">
        <w:t xml:space="preserve"> (University of Nebraska).</w:t>
      </w:r>
    </w:p>
    <w:p w14:paraId="47A15938" w14:textId="77777777" w:rsidR="005B750E" w:rsidRDefault="005B750E" w:rsidP="008D614B"/>
    <w:p w14:paraId="13E882C7" w14:textId="77777777" w:rsidR="005B750E" w:rsidRPr="00432664" w:rsidRDefault="005B750E" w:rsidP="008D614B">
      <w:pPr>
        <w:rPr>
          <w:rFonts w:cs="Arial"/>
          <w:color w:val="000000" w:themeColor="text1"/>
        </w:rPr>
      </w:pPr>
      <w:r>
        <w:rPr>
          <w:rFonts w:cs="Arial"/>
          <w:color w:val="000000" w:themeColor="text1"/>
        </w:rPr>
        <w:t>Four</w:t>
      </w:r>
      <w:r w:rsidRPr="00432664">
        <w:rPr>
          <w:rFonts w:cs="Arial"/>
          <w:color w:val="000000" w:themeColor="text1"/>
        </w:rPr>
        <w:t xml:space="preserve"> types of analyses were </w:t>
      </w:r>
      <w:r>
        <w:rPr>
          <w:rFonts w:cs="Arial"/>
          <w:color w:val="000000" w:themeColor="text1"/>
        </w:rPr>
        <w:t>performed</w:t>
      </w:r>
      <w:r w:rsidRPr="00432664">
        <w:rPr>
          <w:rFonts w:cs="Arial"/>
          <w:color w:val="000000" w:themeColor="text1"/>
        </w:rPr>
        <w:t xml:space="preserve"> </w:t>
      </w:r>
      <w:r>
        <w:rPr>
          <w:rFonts w:cs="Arial"/>
          <w:color w:val="000000" w:themeColor="text1"/>
        </w:rPr>
        <w:t>for this comparison</w:t>
      </w:r>
      <w:r w:rsidRPr="00432664">
        <w:rPr>
          <w:rFonts w:cs="Arial"/>
          <w:color w:val="000000" w:themeColor="text1"/>
        </w:rPr>
        <w:t>:</w:t>
      </w:r>
    </w:p>
    <w:p w14:paraId="59EDC011" w14:textId="77777777" w:rsidR="005B750E" w:rsidRPr="00432664" w:rsidRDefault="005B750E" w:rsidP="008D614B">
      <w:pPr>
        <w:rPr>
          <w:rFonts w:cs="Arial"/>
          <w:color w:val="000000" w:themeColor="text1"/>
        </w:rPr>
      </w:pPr>
    </w:p>
    <w:p w14:paraId="10EE39B9" w14:textId="48516767" w:rsidR="005B750E" w:rsidRDefault="00150F02" w:rsidP="00150F02">
      <w:pPr>
        <w:ind w:left="567" w:hanging="567"/>
        <w:rPr>
          <w:rFonts w:cs="Arial"/>
          <w:color w:val="000000" w:themeColor="text1"/>
        </w:rPr>
      </w:pPr>
      <w:r>
        <w:rPr>
          <w:rFonts w:cs="Arial"/>
          <w:color w:val="000000" w:themeColor="text1"/>
        </w:rPr>
        <w:t>(a)</w:t>
      </w:r>
      <w:r>
        <w:rPr>
          <w:rFonts w:cs="Arial"/>
          <w:color w:val="000000" w:themeColor="text1"/>
        </w:rPr>
        <w:tab/>
      </w:r>
      <w:r w:rsidR="005B750E" w:rsidRPr="00150F02">
        <w:rPr>
          <w:rFonts w:cs="Arial"/>
          <w:color w:val="000000" w:themeColor="text1"/>
        </w:rPr>
        <w:t>35% identity over 80 amino acids to examine potential IgE cross-reactivity:- alignment was performed using a ClustalW program with the FASTA v34 algorithm (Pearson and Lipman, 1988).</w:t>
      </w:r>
    </w:p>
    <w:p w14:paraId="44C80415" w14:textId="77777777" w:rsidR="00150F02" w:rsidRPr="00150F02" w:rsidRDefault="00150F02" w:rsidP="00150F02">
      <w:pPr>
        <w:ind w:left="567" w:hanging="567"/>
        <w:rPr>
          <w:rFonts w:cs="Arial"/>
          <w:color w:val="000000" w:themeColor="text1"/>
        </w:rPr>
      </w:pPr>
    </w:p>
    <w:p w14:paraId="1E29371D" w14:textId="0CCFE72A" w:rsidR="005B750E" w:rsidRDefault="00150F02" w:rsidP="00150F02">
      <w:pPr>
        <w:ind w:left="567" w:hanging="567"/>
        <w:rPr>
          <w:rFonts w:cs="Arial"/>
          <w:color w:val="000000" w:themeColor="text1"/>
        </w:rPr>
      </w:pPr>
      <w:r>
        <w:rPr>
          <w:rFonts w:cs="Arial"/>
          <w:color w:val="000000" w:themeColor="text1"/>
        </w:rPr>
        <w:t>(b)</w:t>
      </w:r>
      <w:r>
        <w:rPr>
          <w:rFonts w:cs="Arial"/>
          <w:color w:val="000000" w:themeColor="text1"/>
        </w:rPr>
        <w:tab/>
      </w:r>
      <w:r w:rsidR="005B750E" w:rsidRPr="00150F02">
        <w:rPr>
          <w:rFonts w:cs="Arial"/>
          <w:color w:val="000000" w:themeColor="text1"/>
        </w:rPr>
        <w:t>The same as a) but with scaling enabled in order to find any matches that may have high identity over windows shorter than 80 amino acids.</w:t>
      </w:r>
    </w:p>
    <w:p w14:paraId="30216942" w14:textId="77777777" w:rsidR="00150F02" w:rsidRPr="00150F02" w:rsidRDefault="00150F02" w:rsidP="00150F02">
      <w:pPr>
        <w:ind w:left="567" w:hanging="567"/>
        <w:rPr>
          <w:rFonts w:cs="Arial"/>
          <w:color w:val="000000" w:themeColor="text1"/>
        </w:rPr>
      </w:pPr>
    </w:p>
    <w:p w14:paraId="2E342343" w14:textId="5F4FDEFB" w:rsidR="005B750E" w:rsidRDefault="00150F02" w:rsidP="00150F02">
      <w:pPr>
        <w:ind w:left="567" w:hanging="567"/>
        <w:rPr>
          <w:rFonts w:cs="Arial"/>
          <w:color w:val="000000" w:themeColor="text1"/>
        </w:rPr>
      </w:pPr>
      <w:r>
        <w:t>(c)</w:t>
      </w:r>
      <w:r>
        <w:tab/>
      </w:r>
      <w:r w:rsidR="005B750E">
        <w:t xml:space="preserve">100% identity over </w:t>
      </w:r>
      <w:r w:rsidR="00A15A0C">
        <w:t>eight</w:t>
      </w:r>
      <w:r w:rsidR="005B750E">
        <w:t xml:space="preserve"> contiguous amino acids</w:t>
      </w:r>
      <w:r w:rsidR="00871FC0">
        <w:t>: -</w:t>
      </w:r>
      <w:r w:rsidR="005B750E" w:rsidRPr="00492B1B">
        <w:t xml:space="preserve"> </w:t>
      </w:r>
      <w:r w:rsidR="005B750E" w:rsidRPr="00150F02">
        <w:rPr>
          <w:rFonts w:cs="Arial"/>
          <w:color w:val="000000" w:themeColor="text1"/>
        </w:rPr>
        <w:t>alignment was performed using a ClustalW program with the FASTA v34 algorithm.</w:t>
      </w:r>
    </w:p>
    <w:p w14:paraId="19B5677D" w14:textId="77777777" w:rsidR="00150F02" w:rsidRPr="00150F02" w:rsidRDefault="00150F02" w:rsidP="00150F02">
      <w:pPr>
        <w:ind w:left="567" w:hanging="567"/>
        <w:rPr>
          <w:rFonts w:cs="Arial"/>
          <w:color w:val="000000" w:themeColor="text1"/>
        </w:rPr>
      </w:pPr>
    </w:p>
    <w:p w14:paraId="21397F02" w14:textId="199002CC" w:rsidR="005B750E" w:rsidRPr="00150F02" w:rsidRDefault="00150F02" w:rsidP="00150F02">
      <w:pPr>
        <w:ind w:left="567" w:hanging="567"/>
        <w:rPr>
          <w:rFonts w:cs="Arial"/>
          <w:color w:val="000000" w:themeColor="text1"/>
        </w:rPr>
      </w:pPr>
      <w:r>
        <w:rPr>
          <w:rFonts w:cs="Arial"/>
          <w:color w:val="000000" w:themeColor="text1"/>
        </w:rPr>
        <w:t>(d)</w:t>
      </w:r>
      <w:r>
        <w:rPr>
          <w:rFonts w:cs="Arial"/>
          <w:color w:val="000000" w:themeColor="text1"/>
        </w:rPr>
        <w:tab/>
      </w:r>
      <w:r w:rsidR="005B750E" w:rsidRPr="00150F02">
        <w:rPr>
          <w:rFonts w:cs="Arial"/>
          <w:color w:val="000000" w:themeColor="text1"/>
        </w:rPr>
        <w:t xml:space="preserve">35% identity over full length of allergen or 100% identity over any </w:t>
      </w:r>
      <w:r w:rsidR="00A15A0C" w:rsidRPr="00150F02">
        <w:rPr>
          <w:rFonts w:cs="Arial"/>
          <w:color w:val="000000" w:themeColor="text1"/>
        </w:rPr>
        <w:t>eight</w:t>
      </w:r>
      <w:r w:rsidR="005B750E" w:rsidRPr="00150F02">
        <w:rPr>
          <w:rFonts w:cs="Arial"/>
          <w:color w:val="000000" w:themeColor="text1"/>
        </w:rPr>
        <w:t xml:space="preserve"> amino acid window</w:t>
      </w:r>
      <w:r w:rsidR="00871FC0" w:rsidRPr="00150F02">
        <w:rPr>
          <w:rFonts w:cs="Arial"/>
          <w:color w:val="000000" w:themeColor="text1"/>
        </w:rPr>
        <w:t>: - the</w:t>
      </w:r>
      <w:r w:rsidR="005B750E" w:rsidRPr="00150F02">
        <w:rPr>
          <w:rFonts w:cs="Arial"/>
          <w:color w:val="000000" w:themeColor="text1"/>
        </w:rPr>
        <w:t xml:space="preserve"> </w:t>
      </w:r>
      <w:hyperlink r:id="rId24" w:history="1">
        <w:r w:rsidR="005B750E" w:rsidRPr="00150F02">
          <w:rPr>
            <w:rStyle w:val="Hyperlink"/>
            <w:rFonts w:cs="Arial"/>
          </w:rPr>
          <w:t>EMBOSS Needle</w:t>
        </w:r>
      </w:hyperlink>
      <w:r w:rsidR="00602089">
        <w:rPr>
          <w:rStyle w:val="FootnoteReference"/>
          <w:rFonts w:cs="Arial"/>
          <w:color w:val="3333FF"/>
          <w:u w:val="single"/>
        </w:rPr>
        <w:footnoteReference w:id="6"/>
      </w:r>
      <w:r w:rsidR="005B750E" w:rsidRPr="00150F02">
        <w:rPr>
          <w:rFonts w:cs="Arial"/>
          <w:color w:val="000000" w:themeColor="text1"/>
        </w:rPr>
        <w:t xml:space="preserve"> program was used to determine the optimal global alignment, based on the Needleman-Wunsch algorithm (Needleman and Wunsch, 1970)</w:t>
      </w:r>
      <w:r w:rsidR="005B750E" w:rsidRPr="00150F02">
        <w:rPr>
          <w:rFonts w:cs="Arial"/>
          <w:color w:val="000000" w:themeColor="text1"/>
          <w:lang w:val="en"/>
        </w:rPr>
        <w:t xml:space="preserve">. </w:t>
      </w:r>
    </w:p>
    <w:p w14:paraId="35CA3603" w14:textId="7CFD777E" w:rsidR="005B750E" w:rsidRDefault="005B750E" w:rsidP="008D614B">
      <w:pPr>
        <w:rPr>
          <w:rFonts w:cs="Arial"/>
          <w:color w:val="000000" w:themeColor="text1"/>
        </w:rPr>
      </w:pPr>
    </w:p>
    <w:p w14:paraId="1DCA65C3" w14:textId="0CA3C6CE" w:rsidR="00337FF5" w:rsidRDefault="005B750E" w:rsidP="008D614B">
      <w:pPr>
        <w:rPr>
          <w:lang w:eastAsia="en-AU" w:bidi="ar-SA"/>
        </w:rPr>
      </w:pPr>
      <w:r>
        <w:rPr>
          <w:rFonts w:cs="Arial"/>
          <w:color w:val="000000" w:themeColor="text1"/>
        </w:rPr>
        <w:t xml:space="preserve">There were no hits when the lactase protein was aligned to any of the known allergens in the four analyses performed. This </w:t>
      </w:r>
      <w:r>
        <w:t xml:space="preserve">indicates that the lactase protein produced by </w:t>
      </w:r>
      <w:r>
        <w:rPr>
          <w:rFonts w:cs="Arial"/>
          <w:i/>
          <w:color w:val="000000" w:themeColor="text1"/>
        </w:rPr>
        <w:t xml:space="preserve">B. </w:t>
      </w:r>
      <w:r w:rsidRPr="00A1396C">
        <w:rPr>
          <w:rFonts w:cs="Arial"/>
          <w:i/>
          <w:color w:val="000000" w:themeColor="text1"/>
        </w:rPr>
        <w:t>licheniformis</w:t>
      </w:r>
      <w:r>
        <w:t xml:space="preserve"> is highly unlikely to be allergenic.</w:t>
      </w:r>
    </w:p>
    <w:p w14:paraId="6070C194" w14:textId="63268320" w:rsidR="005B750E" w:rsidRPr="00DD6B6A" w:rsidRDefault="005B750E" w:rsidP="005B750E">
      <w:pPr>
        <w:pStyle w:val="Heading3"/>
      </w:pPr>
      <w:bookmarkStart w:id="26" w:name="_Toc473540364"/>
      <w:r w:rsidRPr="00DD6B6A">
        <w:t>3.3.</w:t>
      </w:r>
      <w:r>
        <w:t>3</w:t>
      </w:r>
      <w:r w:rsidRPr="00DD6B6A">
        <w:tab/>
        <w:t xml:space="preserve">Bioinformatic analysis for potential </w:t>
      </w:r>
      <w:r>
        <w:t>toxicity</w:t>
      </w:r>
      <w:bookmarkEnd w:id="26"/>
      <w:r w:rsidRPr="00DD6B6A">
        <w:t xml:space="preserve"> </w:t>
      </w:r>
    </w:p>
    <w:p w14:paraId="720A6CEF" w14:textId="3302BC1E" w:rsidR="005B750E" w:rsidRDefault="005B750E" w:rsidP="008D614B">
      <w:r>
        <w:rPr>
          <w:lang w:eastAsia="en-AU" w:bidi="ar-SA"/>
        </w:rPr>
        <w:t>The Applicant has provided results from an</w:t>
      </w:r>
      <w:r w:rsidRPr="005B750E">
        <w:rPr>
          <w:i/>
        </w:rPr>
        <w:t xml:space="preserve"> </w:t>
      </w:r>
      <w:r>
        <w:rPr>
          <w:i/>
        </w:rPr>
        <w:t>i</w:t>
      </w:r>
      <w:r w:rsidRPr="00B4185D">
        <w:rPr>
          <w:i/>
        </w:rPr>
        <w:t>n silico</w:t>
      </w:r>
      <w:r>
        <w:t xml:space="preserve"> comparison of the lactase amino acid sequence from </w:t>
      </w:r>
      <w:r>
        <w:rPr>
          <w:rFonts w:cs="Arial"/>
          <w:i/>
          <w:color w:val="000000" w:themeColor="text1"/>
        </w:rPr>
        <w:t xml:space="preserve">B. </w:t>
      </w:r>
      <w:r w:rsidRPr="00A1396C">
        <w:rPr>
          <w:rFonts w:cs="Arial"/>
          <w:i/>
          <w:color w:val="000000" w:themeColor="text1"/>
        </w:rPr>
        <w:t>licheniformis</w:t>
      </w:r>
      <w:r>
        <w:t xml:space="preserve"> to </w:t>
      </w:r>
      <w:r>
        <w:lastRenderedPageBreak/>
        <w:t xml:space="preserve">known protein toxins identified in the </w:t>
      </w:r>
      <w:hyperlink r:id="rId25" w:history="1">
        <w:r w:rsidRPr="00C26D60">
          <w:rPr>
            <w:rStyle w:val="Hyperlink"/>
          </w:rPr>
          <w:t>UNIPROT database</w:t>
        </w:r>
      </w:hyperlink>
      <w:r w:rsidR="00602089">
        <w:rPr>
          <w:rStyle w:val="FootnoteReference"/>
          <w:color w:val="3333FF"/>
          <w:u w:val="single"/>
        </w:rPr>
        <w:footnoteReference w:id="7"/>
      </w:r>
      <w:r>
        <w:t xml:space="preserve">. A total of 50,251 proteins were identified in UNIPROT (database date: 11-Feb-2016) using the keyword </w:t>
      </w:r>
      <w:r w:rsidRPr="00B4185D">
        <w:rPr>
          <w:i/>
        </w:rPr>
        <w:t>toxin</w:t>
      </w:r>
      <w:r w:rsidRPr="002078AD">
        <w:t xml:space="preserve"> but excluding</w:t>
      </w:r>
      <w:r>
        <w:t xml:space="preserve"> the word</w:t>
      </w:r>
      <w:r w:rsidRPr="002078AD">
        <w:t xml:space="preserve"> </w:t>
      </w:r>
      <w:r>
        <w:rPr>
          <w:i/>
        </w:rPr>
        <w:t>fragment</w:t>
      </w:r>
      <w:r w:rsidRPr="00B4185D">
        <w:t>.</w:t>
      </w:r>
      <w:r>
        <w:t xml:space="preserve"> </w:t>
      </w:r>
      <w:r w:rsidRPr="00432664">
        <w:rPr>
          <w:rFonts w:cs="Arial"/>
          <w:color w:val="000000" w:themeColor="text1"/>
        </w:rPr>
        <w:t xml:space="preserve">The comparison method used a </w:t>
      </w:r>
      <w:hyperlink r:id="rId26" w:history="1">
        <w:r w:rsidRPr="00C26D60">
          <w:rPr>
            <w:rStyle w:val="Hyperlink"/>
            <w:rFonts w:cs="Arial"/>
          </w:rPr>
          <w:t>ClustalW 2.0.10</w:t>
        </w:r>
      </w:hyperlink>
      <w:r w:rsidR="00602089">
        <w:rPr>
          <w:rStyle w:val="FootnoteReference"/>
          <w:rFonts w:cs="Arial"/>
          <w:color w:val="3333FF"/>
          <w:u w:val="single"/>
        </w:rPr>
        <w:footnoteReference w:id="8"/>
      </w:r>
      <w:r>
        <w:rPr>
          <w:rFonts w:cs="Arial"/>
          <w:color w:val="000000" w:themeColor="text1"/>
        </w:rPr>
        <w:t xml:space="preserve"> sequence alignment program</w:t>
      </w:r>
      <w:r w:rsidRPr="00432664">
        <w:rPr>
          <w:rFonts w:cs="Arial"/>
          <w:color w:val="000000" w:themeColor="text1"/>
        </w:rPr>
        <w:fldChar w:fldCharType="begin"/>
      </w:r>
      <w:r>
        <w:rPr>
          <w:rFonts w:cs="Arial"/>
          <w:color w:val="000000" w:themeColor="text1"/>
        </w:rPr>
        <w:instrText xml:space="preserve"> ADDIN REFMGR.CITE &lt;Refman&gt;&lt;Cite&gt;&lt;Author&gt;Larkin&lt;/Author&gt;&lt;Year&gt;2007&lt;/Year&gt;&lt;RecNum&gt;1600&lt;/RecNum&gt;&lt;IDText&gt;Clustal W and Clustal X version 2.0&lt;/IDText&gt;&lt;MDL Ref_Type="Journal (Full)"&gt;&lt;Ref_Type&gt;Journal (Full)&lt;/Ref_Type&gt;&lt;Ref_ID&gt;1600&lt;/Ref_ID&gt;&lt;Title_Primary&gt;&lt;f name="AdvP47D4A3"&gt;Clustal W and Clustal X version 2.0&lt;/f&gt;&lt;/Title_Primary&gt;&lt;Authors_Primary&gt;Larkin,M.A.&lt;/Authors_Primary&gt;&lt;Authors_Primary&gt;Blackshields,G.&lt;/Authors_Primary&gt;&lt;Authors_Primary&gt;Brown,N.P.&lt;/Authors_Primary&gt;&lt;Authors_Primary&gt;Chenna,R.&lt;/Authors_Primary&gt;&lt;Authors_Primary&gt;McGettigan,P.A.&lt;/Authors_Primary&gt;&lt;Authors_Primary&gt;McWilliam,H.&lt;/Authors_Primary&gt;&lt;Authors_Primary&gt;Valentin,F.&lt;/Authors_Primary&gt;&lt;Authors_Primary&gt;Wallace,I.M.&lt;/Authors_Primary&gt;&lt;Authors_Primary&gt;Wilm,A.&lt;/Authors_Primary&gt;&lt;Authors_Primary&gt;Lopez,R.&lt;/Authors_Primary&gt;&lt;Authors_Primary&gt;Thompson,J.D.&lt;/Authors_Primary&gt;&lt;Authors_Primary&gt;Gibson,T.J.&lt;/Authors_Primary&gt;&lt;Authors_Primary&gt;Higgins,D.G.&lt;/Authors_Primary&gt;&lt;Date_Primary&gt;2007&lt;/Date_Primary&gt;&lt;Keywords&gt;Sequence Alignment&lt;/Keywords&gt;&lt;Keywords&gt;Algorithms&lt;/Keywords&gt;&lt;Reprint&gt;Not in File&lt;/Reprint&gt;&lt;Start_Page&gt;2947&lt;/Start_Page&gt;&lt;End_Page&gt;2948&lt;/End_Page&gt;&lt;Periodical&gt;Bioinformatics&lt;/Periodical&gt;&lt;Volume&gt;23&lt;/Volume&gt;&lt;Issue&gt;21&lt;/Issue&gt;&lt;Misc_2&gt;&lt;f name="AdvGARAD-I"&gt;doi:10.1093/bioinformatics/btm404&lt;/f&gt;&lt;/Misc_2&gt;&lt;Web_URL_Link2&gt;&lt;u&gt;file://F:\Risk Assessment - Chemical Safety\GMO - shared\References\GM References\Larkin et al_2007_Clustal W sequence analysis.pdf&lt;/u&gt;&lt;/Web_URL_Link2&gt;&lt;ZZ_JournalFull&gt;&lt;f name="System"&gt;Bioinformatics&lt;/f&gt;&lt;/ZZ_JournalFull&gt;&lt;ZZ_WorkformID&gt;32&lt;/ZZ_WorkformID&gt;&lt;/MDL&gt;&lt;/Cite&gt;&lt;/Refman&gt;</w:instrText>
      </w:r>
      <w:r w:rsidRPr="00432664">
        <w:rPr>
          <w:rFonts w:cs="Arial"/>
          <w:color w:val="000000" w:themeColor="text1"/>
        </w:rPr>
        <w:fldChar w:fldCharType="end"/>
      </w:r>
      <w:r>
        <w:rPr>
          <w:rFonts w:cs="Arial"/>
          <w:color w:val="000000" w:themeColor="text1"/>
        </w:rPr>
        <w:t xml:space="preserve"> (Larkin </w:t>
      </w:r>
      <w:r w:rsidR="00F019E1" w:rsidRPr="00F019E1">
        <w:rPr>
          <w:rFonts w:cs="Arial"/>
          <w:i/>
          <w:color w:val="000000" w:themeColor="text1"/>
        </w:rPr>
        <w:t>et al</w:t>
      </w:r>
      <w:r>
        <w:rPr>
          <w:rFonts w:cs="Arial"/>
          <w:color w:val="000000" w:themeColor="text1"/>
        </w:rPr>
        <w:t>, 2007).</w:t>
      </w:r>
    </w:p>
    <w:p w14:paraId="15020CF4" w14:textId="77777777" w:rsidR="005B750E" w:rsidRDefault="005B750E" w:rsidP="008D614B"/>
    <w:p w14:paraId="678C0C9E" w14:textId="333BABB2" w:rsidR="005B750E" w:rsidRDefault="005B750E" w:rsidP="00DC5F0E">
      <w:r>
        <w:t xml:space="preserve">The greatest homology found was 15.0%, indicating that the lactase protein produced by </w:t>
      </w:r>
      <w:r>
        <w:rPr>
          <w:rFonts w:cs="Arial"/>
          <w:i/>
          <w:color w:val="000000" w:themeColor="text1"/>
        </w:rPr>
        <w:t xml:space="preserve">B. </w:t>
      </w:r>
      <w:r w:rsidRPr="00A1396C">
        <w:rPr>
          <w:rFonts w:cs="Arial"/>
          <w:i/>
          <w:color w:val="000000" w:themeColor="text1"/>
        </w:rPr>
        <w:t>licheniformis</w:t>
      </w:r>
      <w:r>
        <w:t xml:space="preserve"> is highly unlikely to be toxic.</w:t>
      </w:r>
    </w:p>
    <w:p w14:paraId="0AEE390C" w14:textId="6AFE8BAC" w:rsidR="005B750E" w:rsidRPr="00DD6B6A" w:rsidRDefault="005B750E" w:rsidP="005B750E">
      <w:pPr>
        <w:pStyle w:val="Heading3"/>
      </w:pPr>
      <w:bookmarkStart w:id="27" w:name="_Toc473540365"/>
      <w:r w:rsidRPr="00DD6B6A">
        <w:t>3.3.</w:t>
      </w:r>
      <w:r>
        <w:t>4</w:t>
      </w:r>
      <w:r w:rsidRPr="00DD6B6A">
        <w:tab/>
        <w:t xml:space="preserve">Bioinformatic analysis for </w:t>
      </w:r>
      <w:r>
        <w:t>pepsin digestibility</w:t>
      </w:r>
      <w:bookmarkEnd w:id="27"/>
      <w:r w:rsidRPr="00DD6B6A">
        <w:t xml:space="preserve"> </w:t>
      </w:r>
    </w:p>
    <w:p w14:paraId="0A74A002" w14:textId="79DDD0D7" w:rsidR="00190C63" w:rsidRDefault="005B750E" w:rsidP="008D614B">
      <w:pPr>
        <w:rPr>
          <w:rFonts w:cs="Arial"/>
          <w:color w:val="000000" w:themeColor="text1"/>
        </w:rPr>
      </w:pPr>
      <w:r w:rsidRPr="00A920F0">
        <w:rPr>
          <w:rFonts w:cs="Arial"/>
          <w:color w:val="000000" w:themeColor="text1"/>
        </w:rPr>
        <w:t xml:space="preserve">To confirm the digestibility of </w:t>
      </w:r>
      <w:r>
        <w:rPr>
          <w:rFonts w:cs="Arial"/>
          <w:color w:val="000000" w:themeColor="text1"/>
        </w:rPr>
        <w:t>lactase</w:t>
      </w:r>
      <w:r w:rsidRPr="00A920F0">
        <w:rPr>
          <w:rFonts w:cs="Arial"/>
          <w:color w:val="000000" w:themeColor="text1"/>
        </w:rPr>
        <w:t xml:space="preserve">, potential cleavage sites were investigated by FSANZ using the amino acid sequence of </w:t>
      </w:r>
      <w:r>
        <w:rPr>
          <w:rFonts w:cs="Arial"/>
          <w:color w:val="000000" w:themeColor="text1"/>
        </w:rPr>
        <w:t>lactase</w:t>
      </w:r>
      <w:r w:rsidRPr="00A920F0">
        <w:rPr>
          <w:rFonts w:cs="Arial"/>
          <w:color w:val="000000" w:themeColor="text1"/>
        </w:rPr>
        <w:t xml:space="preserve"> and the </w:t>
      </w:r>
      <w:hyperlink r:id="rId27" w:history="1">
        <w:r w:rsidRPr="00062C85">
          <w:rPr>
            <w:rStyle w:val="Hyperlink"/>
            <w:rFonts w:cs="Arial"/>
          </w:rPr>
          <w:t>PeptideCutter tool</w:t>
        </w:r>
      </w:hyperlink>
      <w:r w:rsidR="00602089">
        <w:rPr>
          <w:rStyle w:val="FootnoteReference"/>
          <w:rFonts w:cs="Arial"/>
          <w:color w:val="3333FF"/>
          <w:u w:val="single"/>
        </w:rPr>
        <w:footnoteReference w:id="9"/>
      </w:r>
      <w:r>
        <w:rPr>
          <w:rFonts w:cs="Arial"/>
          <w:color w:val="000000" w:themeColor="text1"/>
        </w:rPr>
        <w:t xml:space="preserve"> in the ExPASy Proteomics Site</w:t>
      </w:r>
      <w:r w:rsidRPr="00A920F0">
        <w:rPr>
          <w:rFonts w:cs="Arial"/>
          <w:color w:val="000000" w:themeColor="text1"/>
        </w:rPr>
        <w:t xml:space="preserve">. </w:t>
      </w:r>
      <w:r>
        <w:rPr>
          <w:rFonts w:cs="Arial"/>
          <w:color w:val="000000" w:themeColor="text1"/>
        </w:rPr>
        <w:t>Lactase</w:t>
      </w:r>
      <w:r w:rsidRPr="00A920F0">
        <w:rPr>
          <w:rFonts w:cs="Arial"/>
          <w:color w:val="000000" w:themeColor="text1"/>
        </w:rPr>
        <w:t xml:space="preserve"> has multiple cleavage sites for pepsin (</w:t>
      </w:r>
      <w:r w:rsidRPr="00C26D60">
        <w:rPr>
          <w:rFonts w:cs="Arial"/>
          <w:color w:val="000000" w:themeColor="text1"/>
        </w:rPr>
        <w:t>136 sites at pH 1.3 and 248 sites at pH &gt;2</w:t>
      </w:r>
      <w:r w:rsidRPr="00A920F0">
        <w:rPr>
          <w:rFonts w:cs="Arial"/>
          <w:color w:val="000000" w:themeColor="text1"/>
        </w:rPr>
        <w:t>), trypsin (</w:t>
      </w:r>
      <w:r w:rsidRPr="00C26D60">
        <w:rPr>
          <w:rFonts w:cs="Arial"/>
          <w:color w:val="000000" w:themeColor="text1"/>
        </w:rPr>
        <w:t>114 sites</w:t>
      </w:r>
      <w:r w:rsidRPr="00A920F0">
        <w:rPr>
          <w:rFonts w:cs="Arial"/>
          <w:color w:val="000000" w:themeColor="text1"/>
        </w:rPr>
        <w:t>), chymotrypsin (</w:t>
      </w:r>
      <w:r w:rsidRPr="00C26D60">
        <w:rPr>
          <w:rFonts w:cs="Arial"/>
          <w:color w:val="000000" w:themeColor="text1"/>
        </w:rPr>
        <w:t>110 high-specificity sites, 179 low-specificity sites</w:t>
      </w:r>
      <w:r w:rsidRPr="00A920F0">
        <w:rPr>
          <w:rFonts w:cs="Arial"/>
          <w:color w:val="000000" w:themeColor="text1"/>
        </w:rPr>
        <w:t>) and endopeptidases (</w:t>
      </w:r>
      <w:r w:rsidRPr="00C26D60">
        <w:rPr>
          <w:rFonts w:cs="Arial"/>
          <w:color w:val="000000" w:themeColor="text1"/>
        </w:rPr>
        <w:t>274 sites</w:t>
      </w:r>
      <w:r w:rsidRPr="00A920F0">
        <w:rPr>
          <w:rFonts w:cs="Arial"/>
          <w:color w:val="000000" w:themeColor="text1"/>
        </w:rPr>
        <w:t xml:space="preserve">). On this basis, </w:t>
      </w:r>
      <w:r>
        <w:rPr>
          <w:rFonts w:cs="Arial"/>
          <w:color w:val="000000" w:themeColor="text1"/>
        </w:rPr>
        <w:t>lactase</w:t>
      </w:r>
      <w:r w:rsidRPr="00A920F0">
        <w:rPr>
          <w:rFonts w:cs="Arial"/>
          <w:color w:val="000000" w:themeColor="text1"/>
        </w:rPr>
        <w:t xml:space="preserve"> is considered likely to be as susceptible to digestion </w:t>
      </w:r>
      <w:r w:rsidR="00E2435D">
        <w:rPr>
          <w:rFonts w:cs="Arial"/>
          <w:color w:val="000000" w:themeColor="text1"/>
        </w:rPr>
        <w:t>as</w:t>
      </w:r>
      <w:r w:rsidRPr="00A920F0">
        <w:rPr>
          <w:rFonts w:cs="Arial"/>
          <w:color w:val="000000" w:themeColor="text1"/>
        </w:rPr>
        <w:t xml:space="preserve"> the vast majority of dietary proteins.</w:t>
      </w:r>
      <w:r w:rsidR="00190C63">
        <w:rPr>
          <w:rFonts w:cs="Arial"/>
          <w:color w:val="000000" w:themeColor="text1"/>
        </w:rPr>
        <w:br w:type="page"/>
      </w:r>
    </w:p>
    <w:p w14:paraId="11707C67" w14:textId="75E5AC56" w:rsidR="00337FF5" w:rsidRPr="00DD6B6A" w:rsidRDefault="00337FF5" w:rsidP="00337FF5">
      <w:pPr>
        <w:pStyle w:val="Heading2"/>
        <w:rPr>
          <w:lang w:eastAsia="en-AU"/>
        </w:rPr>
      </w:pPr>
      <w:bookmarkStart w:id="28" w:name="_Toc473540366"/>
      <w:r w:rsidRPr="00DD6B6A">
        <w:rPr>
          <w:lang w:eastAsia="en-AU"/>
        </w:rPr>
        <w:lastRenderedPageBreak/>
        <w:t>3.4</w:t>
      </w:r>
      <w:r w:rsidRPr="00DD6B6A">
        <w:rPr>
          <w:lang w:eastAsia="en-AU"/>
        </w:rPr>
        <w:tab/>
        <w:t>Evaluation of toxicity studies of the enzyme product</w:t>
      </w:r>
      <w:bookmarkEnd w:id="28"/>
    </w:p>
    <w:tbl>
      <w:tblPr>
        <w:tblStyle w:val="TableGrid"/>
        <w:tblW w:w="0" w:type="auto"/>
        <w:tblLook w:val="04A0" w:firstRow="1" w:lastRow="0" w:firstColumn="1" w:lastColumn="0" w:noHBand="0" w:noVBand="1"/>
      </w:tblPr>
      <w:tblGrid>
        <w:gridCol w:w="9286"/>
      </w:tblGrid>
      <w:tr w:rsidR="009476BF" w14:paraId="451FF294" w14:textId="77777777" w:rsidTr="009476BF">
        <w:tc>
          <w:tcPr>
            <w:tcW w:w="9286" w:type="dxa"/>
          </w:tcPr>
          <w:p w14:paraId="2A6B5A39" w14:textId="7370F756" w:rsidR="00E2435D" w:rsidRPr="00E2435D" w:rsidRDefault="00E2435D" w:rsidP="009476BF">
            <w:pPr>
              <w:autoSpaceDE w:val="0"/>
              <w:autoSpaceDN w:val="0"/>
              <w:adjustRightInd w:val="0"/>
              <w:spacing w:before="120" w:after="120"/>
              <w:ind w:left="142" w:right="139"/>
              <w:jc w:val="both"/>
              <w:rPr>
                <w:rFonts w:cs="Arial"/>
                <w:b/>
                <w:color w:val="000000" w:themeColor="text1"/>
                <w:sz w:val="20"/>
              </w:rPr>
            </w:pPr>
            <w:bookmarkStart w:id="29" w:name="_Toc465672236"/>
            <w:bookmarkStart w:id="30" w:name="_Toc465855198"/>
            <w:bookmarkStart w:id="31" w:name="_Toc466462371"/>
            <w:bookmarkStart w:id="32" w:name="_Toc466463876"/>
            <w:bookmarkEnd w:id="29"/>
            <w:bookmarkEnd w:id="30"/>
            <w:bookmarkEnd w:id="31"/>
            <w:bookmarkEnd w:id="32"/>
            <w:r w:rsidRPr="00E2435D">
              <w:rPr>
                <w:rFonts w:cs="Arial"/>
                <w:b/>
                <w:color w:val="000000" w:themeColor="text1"/>
                <w:sz w:val="20"/>
              </w:rPr>
              <w:t>Study submitted</w:t>
            </w:r>
          </w:p>
          <w:p w14:paraId="34C0022B" w14:textId="78BCFFD1" w:rsidR="009476BF" w:rsidRDefault="009476BF" w:rsidP="009476BF">
            <w:pPr>
              <w:autoSpaceDE w:val="0"/>
              <w:autoSpaceDN w:val="0"/>
              <w:adjustRightInd w:val="0"/>
              <w:spacing w:before="120" w:after="120"/>
              <w:ind w:left="142" w:right="139"/>
              <w:jc w:val="both"/>
              <w:rPr>
                <w:rFonts w:cs="Arial"/>
                <w:color w:val="000000" w:themeColor="text1"/>
              </w:rPr>
            </w:pPr>
            <w:r w:rsidRPr="008D614B">
              <w:rPr>
                <w:rFonts w:cs="Arial"/>
                <w:color w:val="000000" w:themeColor="text1"/>
                <w:sz w:val="20"/>
              </w:rPr>
              <w:t xml:space="preserve">Nielsen LA (2014) Summary of toxicity data: Lactase, batch PPL34637 from </w:t>
            </w:r>
            <w:r w:rsidRPr="008D614B">
              <w:rPr>
                <w:rFonts w:cs="Arial"/>
                <w:i/>
                <w:color w:val="000000" w:themeColor="text1"/>
                <w:sz w:val="20"/>
              </w:rPr>
              <w:t>Bacillus licheniformis</w:t>
            </w:r>
            <w:r w:rsidRPr="008D614B">
              <w:rPr>
                <w:rFonts w:cs="Arial"/>
                <w:color w:val="000000" w:themeColor="text1"/>
                <w:sz w:val="20"/>
              </w:rPr>
              <w:t>. File # 2014-11425-01, Novozymes A/S</w:t>
            </w:r>
            <w:r w:rsidR="00E2435D">
              <w:rPr>
                <w:rFonts w:cs="Arial"/>
                <w:color w:val="000000" w:themeColor="text1"/>
                <w:sz w:val="20"/>
              </w:rPr>
              <w:t xml:space="preserve"> (unpublished)</w:t>
            </w:r>
            <w:r w:rsidRPr="008D614B">
              <w:rPr>
                <w:rFonts w:cs="Arial"/>
                <w:color w:val="000000" w:themeColor="text1"/>
                <w:sz w:val="20"/>
              </w:rPr>
              <w:t>.</w:t>
            </w:r>
          </w:p>
        </w:tc>
      </w:tr>
    </w:tbl>
    <w:p w14:paraId="0432A5A0" w14:textId="77777777" w:rsidR="0058504E" w:rsidRDefault="0058504E" w:rsidP="00DC5F0E"/>
    <w:p w14:paraId="5788C2AF" w14:textId="11476E03" w:rsidR="003E52FA" w:rsidRDefault="003E52FA" w:rsidP="00DC5F0E">
      <w:r>
        <w:t>The Applicant provided data for a range of u</w:t>
      </w:r>
      <w:r w:rsidRPr="00880245">
        <w:t xml:space="preserve">npublished toxicity studies on a representative </w:t>
      </w:r>
      <w:r>
        <w:t xml:space="preserve">lactase preparation, which was </w:t>
      </w:r>
      <w:r w:rsidRPr="00880245">
        <w:t>independently evaluated by FSANZ. These studies comprised</w:t>
      </w:r>
      <w:r>
        <w:t>:</w:t>
      </w:r>
    </w:p>
    <w:p w14:paraId="3F55D171" w14:textId="77777777" w:rsidR="0058504E" w:rsidRDefault="0058504E" w:rsidP="00DC5F0E"/>
    <w:p w14:paraId="38AC2501" w14:textId="18D42C46" w:rsidR="003E52FA" w:rsidRDefault="00D67C6B" w:rsidP="00DC5F0E">
      <w:pPr>
        <w:pStyle w:val="FSBullet1"/>
      </w:pPr>
      <w:r>
        <w:t>T</w:t>
      </w:r>
      <w:r w:rsidR="003E52FA" w:rsidRPr="003E52FA">
        <w:t>wo mutagenicity assays - an Ames test conducted in accordance with OECD test Guideline 471</w:t>
      </w:r>
      <w:r w:rsidR="003E52FA">
        <w:t xml:space="preserve"> (OECD 1997)</w:t>
      </w:r>
      <w:r w:rsidR="003E52FA" w:rsidRPr="003E52FA">
        <w:t xml:space="preserve"> and an </w:t>
      </w:r>
      <w:r w:rsidR="003E52FA" w:rsidRPr="003E52FA">
        <w:rPr>
          <w:i/>
        </w:rPr>
        <w:t>in vitro</w:t>
      </w:r>
      <w:r w:rsidR="003E52FA" w:rsidRPr="003E52FA">
        <w:t xml:space="preserve"> micronucleus test conducted in accordance with OECD test Guideline 487 (OECD 2010) </w:t>
      </w:r>
    </w:p>
    <w:p w14:paraId="33A9D977" w14:textId="4B82C590" w:rsidR="003E52FA" w:rsidRPr="003E52FA" w:rsidRDefault="00D67C6B" w:rsidP="00DC5F0E">
      <w:pPr>
        <w:pStyle w:val="FSBullet1"/>
      </w:pPr>
      <w:r>
        <w:t>A</w:t>
      </w:r>
      <w:r w:rsidR="003E52FA" w:rsidRPr="003E52FA">
        <w:t xml:space="preserve"> 90-day oral toxicity study in rats conducted in accordance with OECD Test Guideline 408</w:t>
      </w:r>
      <w:r w:rsidR="003E52FA">
        <w:t xml:space="preserve"> (OECD 1998).</w:t>
      </w:r>
    </w:p>
    <w:p w14:paraId="16088B7E" w14:textId="77777777" w:rsidR="003E52FA" w:rsidRDefault="003E52FA" w:rsidP="008D614B">
      <w:pPr>
        <w:autoSpaceDE w:val="0"/>
        <w:autoSpaceDN w:val="0"/>
        <w:adjustRightInd w:val="0"/>
        <w:rPr>
          <w:rFonts w:cs="Arial"/>
          <w:color w:val="000000" w:themeColor="text1"/>
        </w:rPr>
      </w:pPr>
    </w:p>
    <w:p w14:paraId="74AE7C2E" w14:textId="62294F5D" w:rsidR="003E52FA" w:rsidRDefault="003E52FA" w:rsidP="008D614B">
      <w:pPr>
        <w:autoSpaceDE w:val="0"/>
        <w:autoSpaceDN w:val="0"/>
        <w:adjustRightInd w:val="0"/>
        <w:rPr>
          <w:rFonts w:cs="Arial"/>
          <w:color w:val="000000" w:themeColor="text1"/>
        </w:rPr>
      </w:pPr>
      <w:r w:rsidRPr="00880245">
        <w:rPr>
          <w:rFonts w:cs="Arial"/>
          <w:color w:val="000000" w:themeColor="text1"/>
        </w:rPr>
        <w:t xml:space="preserve">The test substance was </w:t>
      </w:r>
      <w:r>
        <w:rPr>
          <w:rFonts w:cs="Arial"/>
          <w:color w:val="000000" w:themeColor="text1"/>
        </w:rPr>
        <w:t>a lactase</w:t>
      </w:r>
      <w:r w:rsidRPr="00880245">
        <w:rPr>
          <w:rFonts w:cs="Arial"/>
          <w:color w:val="000000" w:themeColor="text1"/>
        </w:rPr>
        <w:t xml:space="preserve"> preparation batch PP</w:t>
      </w:r>
      <w:r>
        <w:rPr>
          <w:rFonts w:cs="Arial"/>
          <w:color w:val="000000" w:themeColor="text1"/>
        </w:rPr>
        <w:t xml:space="preserve">L34537, </w:t>
      </w:r>
      <w:r w:rsidRPr="00880245">
        <w:rPr>
          <w:rFonts w:cs="Arial"/>
          <w:color w:val="000000" w:themeColor="text1"/>
        </w:rPr>
        <w:t>supplied in l</w:t>
      </w:r>
      <w:r>
        <w:rPr>
          <w:rFonts w:cs="Arial"/>
          <w:color w:val="000000" w:themeColor="text1"/>
        </w:rPr>
        <w:t xml:space="preserve">iquid form and dissolved in water. The characterisation of toxbatch PPL34537 is presented in </w:t>
      </w:r>
      <w:r w:rsidRPr="00880245">
        <w:rPr>
          <w:rFonts w:cs="Arial"/>
          <w:color w:val="000000" w:themeColor="text1"/>
        </w:rPr>
        <w:t xml:space="preserve">Table </w:t>
      </w:r>
      <w:r w:rsidRPr="000A51A4">
        <w:rPr>
          <w:rFonts w:cs="Arial"/>
          <w:color w:val="000000" w:themeColor="text1"/>
        </w:rPr>
        <w:t>3.1.</w:t>
      </w:r>
    </w:p>
    <w:p w14:paraId="213762B1" w14:textId="77777777" w:rsidR="0058504E" w:rsidRPr="005D6623" w:rsidRDefault="0058504E" w:rsidP="008D614B">
      <w:pPr>
        <w:autoSpaceDE w:val="0"/>
        <w:autoSpaceDN w:val="0"/>
        <w:adjustRightInd w:val="0"/>
        <w:rPr>
          <w:rFonts w:cs="Arial"/>
          <w:color w:val="000000" w:themeColor="text1"/>
        </w:rPr>
      </w:pPr>
    </w:p>
    <w:p w14:paraId="64DEE406" w14:textId="77777777" w:rsidR="003E52FA" w:rsidRDefault="003E52FA" w:rsidP="00DC5F0E">
      <w:pPr>
        <w:pStyle w:val="FSCtblh2"/>
        <w:spacing w:before="0" w:after="0"/>
        <w:jc w:val="left"/>
        <w:rPr>
          <w:sz w:val="22"/>
        </w:rPr>
      </w:pPr>
      <w:r w:rsidRPr="00DC5F0E">
        <w:rPr>
          <w:sz w:val="22"/>
        </w:rPr>
        <w:t>Table 3.1: Characterisation data of lactase batch PPL34537</w:t>
      </w:r>
    </w:p>
    <w:p w14:paraId="57AD6E95" w14:textId="77777777" w:rsidR="0058504E" w:rsidRPr="00DC5F0E" w:rsidRDefault="0058504E" w:rsidP="00DC5F0E">
      <w:pPr>
        <w:pStyle w:val="FSCtblh2"/>
        <w:spacing w:before="0" w:after="0"/>
        <w:jc w:val="left"/>
        <w:rPr>
          <w:sz w:val="22"/>
        </w:rPr>
      </w:pPr>
    </w:p>
    <w:tbl>
      <w:tblPr>
        <w:tblStyle w:val="TableGrid"/>
        <w:tblW w:w="0" w:type="auto"/>
        <w:tblInd w:w="567" w:type="dxa"/>
        <w:tblLook w:val="04A0" w:firstRow="1" w:lastRow="0" w:firstColumn="1" w:lastColumn="0" w:noHBand="0" w:noVBand="1"/>
      </w:tblPr>
      <w:tblGrid>
        <w:gridCol w:w="2879"/>
        <w:gridCol w:w="1852"/>
      </w:tblGrid>
      <w:tr w:rsidR="003E52FA" w:rsidRPr="00B52BF6" w14:paraId="3EC0C079" w14:textId="77777777" w:rsidTr="005D6623">
        <w:trPr>
          <w:trHeight w:val="340"/>
        </w:trPr>
        <w:tc>
          <w:tcPr>
            <w:tcW w:w="2879" w:type="dxa"/>
            <w:shd w:val="clear" w:color="auto" w:fill="D9D9D9" w:themeFill="background1" w:themeFillShade="D9"/>
            <w:vAlign w:val="center"/>
          </w:tcPr>
          <w:p w14:paraId="5A063147" w14:textId="7545598A" w:rsidR="003E52FA" w:rsidRPr="004F7959" w:rsidRDefault="003E52FA" w:rsidP="00447E4A">
            <w:pPr>
              <w:ind w:right="252"/>
              <w:jc w:val="center"/>
              <w:rPr>
                <w:rFonts w:cs="Arial"/>
                <w:b/>
                <w:color w:val="000000" w:themeColor="text1"/>
                <w:sz w:val="18"/>
                <w:szCs w:val="18"/>
              </w:rPr>
            </w:pPr>
            <w:r w:rsidRPr="004F7959">
              <w:rPr>
                <w:rFonts w:cs="Arial"/>
                <w:b/>
                <w:color w:val="000000" w:themeColor="text1"/>
                <w:sz w:val="18"/>
                <w:szCs w:val="18"/>
              </w:rPr>
              <w:t>Characteristic</w:t>
            </w:r>
          </w:p>
        </w:tc>
        <w:tc>
          <w:tcPr>
            <w:tcW w:w="1852" w:type="dxa"/>
            <w:shd w:val="clear" w:color="auto" w:fill="D9D9D9" w:themeFill="background1" w:themeFillShade="D9"/>
            <w:vAlign w:val="center"/>
          </w:tcPr>
          <w:p w14:paraId="3A9D4730" w14:textId="77777777" w:rsidR="003E52FA" w:rsidRPr="004F7959" w:rsidRDefault="003E52FA" w:rsidP="00447E4A">
            <w:pPr>
              <w:jc w:val="center"/>
              <w:rPr>
                <w:rFonts w:cs="Arial"/>
                <w:b/>
                <w:color w:val="000000" w:themeColor="text1"/>
                <w:sz w:val="18"/>
                <w:szCs w:val="18"/>
              </w:rPr>
            </w:pPr>
            <w:r w:rsidRPr="004F7959">
              <w:rPr>
                <w:rFonts w:cs="Arial"/>
                <w:b/>
                <w:color w:val="000000" w:themeColor="text1"/>
                <w:sz w:val="18"/>
                <w:szCs w:val="18"/>
              </w:rPr>
              <w:t>PPL34537</w:t>
            </w:r>
          </w:p>
        </w:tc>
      </w:tr>
      <w:tr w:rsidR="003E52FA" w:rsidRPr="00B52BF6" w14:paraId="681EB7FB" w14:textId="77777777" w:rsidTr="00447E4A">
        <w:trPr>
          <w:trHeight w:val="340"/>
        </w:trPr>
        <w:tc>
          <w:tcPr>
            <w:tcW w:w="2879" w:type="dxa"/>
            <w:vAlign w:val="center"/>
          </w:tcPr>
          <w:p w14:paraId="03A4B91A" w14:textId="0CE2C4E3" w:rsidR="003E52FA" w:rsidRPr="00B52BF6" w:rsidRDefault="003E52FA" w:rsidP="00447E4A">
            <w:pPr>
              <w:ind w:right="252"/>
              <w:jc w:val="right"/>
              <w:rPr>
                <w:rFonts w:cs="Arial"/>
                <w:color w:val="000000" w:themeColor="text1"/>
                <w:sz w:val="18"/>
                <w:szCs w:val="18"/>
              </w:rPr>
            </w:pPr>
            <w:r w:rsidRPr="00B52BF6">
              <w:rPr>
                <w:rFonts w:cs="Arial"/>
                <w:color w:val="000000" w:themeColor="text1"/>
                <w:sz w:val="18"/>
                <w:szCs w:val="18"/>
              </w:rPr>
              <w:t>Activity</w:t>
            </w:r>
            <w:r>
              <w:rPr>
                <w:rFonts w:cs="Arial"/>
                <w:color w:val="000000" w:themeColor="text1"/>
                <w:sz w:val="18"/>
                <w:szCs w:val="18"/>
              </w:rPr>
              <w:t xml:space="preserve"> (LAU</w:t>
            </w:r>
            <w:r w:rsidRPr="004F7959">
              <w:rPr>
                <w:rFonts w:cs="Arial"/>
                <w:sz w:val="20"/>
                <w:vertAlign w:val="superscript"/>
              </w:rPr>
              <w:t>†</w:t>
            </w:r>
            <w:r>
              <w:rPr>
                <w:rFonts w:cs="Arial"/>
                <w:color w:val="000000" w:themeColor="text1"/>
                <w:sz w:val="18"/>
                <w:szCs w:val="18"/>
              </w:rPr>
              <w:t>/g)</w:t>
            </w:r>
          </w:p>
        </w:tc>
        <w:tc>
          <w:tcPr>
            <w:tcW w:w="1852" w:type="dxa"/>
            <w:shd w:val="clear" w:color="auto" w:fill="auto"/>
            <w:vAlign w:val="center"/>
          </w:tcPr>
          <w:p w14:paraId="615DD76F" w14:textId="77777777" w:rsidR="003E52FA" w:rsidRDefault="003E52FA" w:rsidP="00447E4A">
            <w:pPr>
              <w:jc w:val="center"/>
              <w:rPr>
                <w:rFonts w:cs="Arial"/>
                <w:color w:val="000000" w:themeColor="text1"/>
                <w:sz w:val="18"/>
                <w:szCs w:val="18"/>
              </w:rPr>
            </w:pPr>
            <w:r>
              <w:rPr>
                <w:rFonts w:cs="Arial"/>
                <w:color w:val="000000" w:themeColor="text1"/>
                <w:sz w:val="18"/>
                <w:szCs w:val="18"/>
              </w:rPr>
              <w:t>6730</w:t>
            </w:r>
          </w:p>
        </w:tc>
      </w:tr>
      <w:tr w:rsidR="003E52FA" w:rsidRPr="00B52BF6" w14:paraId="790E384E" w14:textId="77777777" w:rsidTr="00447E4A">
        <w:trPr>
          <w:trHeight w:val="340"/>
        </w:trPr>
        <w:tc>
          <w:tcPr>
            <w:tcW w:w="2879" w:type="dxa"/>
            <w:vAlign w:val="center"/>
          </w:tcPr>
          <w:p w14:paraId="7D84FF48" w14:textId="77777777" w:rsidR="003E52FA" w:rsidRPr="00B52BF6" w:rsidRDefault="003E52FA" w:rsidP="00447E4A">
            <w:pPr>
              <w:ind w:right="252"/>
              <w:jc w:val="right"/>
              <w:rPr>
                <w:rFonts w:cs="Arial"/>
                <w:color w:val="000000" w:themeColor="text1"/>
                <w:sz w:val="18"/>
                <w:szCs w:val="18"/>
              </w:rPr>
            </w:pPr>
            <w:r w:rsidRPr="00B52BF6">
              <w:rPr>
                <w:rFonts w:cs="Arial"/>
                <w:color w:val="000000" w:themeColor="text1"/>
                <w:sz w:val="18"/>
                <w:szCs w:val="18"/>
              </w:rPr>
              <w:t>Total Organic Solids (% w/w)</w:t>
            </w:r>
          </w:p>
        </w:tc>
        <w:tc>
          <w:tcPr>
            <w:tcW w:w="1852" w:type="dxa"/>
            <w:vAlign w:val="center"/>
          </w:tcPr>
          <w:p w14:paraId="72426AF5" w14:textId="77777777" w:rsidR="003E52FA" w:rsidRPr="00B52BF6" w:rsidRDefault="003E52FA" w:rsidP="00447E4A">
            <w:pPr>
              <w:jc w:val="center"/>
              <w:rPr>
                <w:rFonts w:cs="Arial"/>
                <w:color w:val="000000" w:themeColor="text1"/>
                <w:sz w:val="18"/>
                <w:szCs w:val="18"/>
              </w:rPr>
            </w:pPr>
            <w:r>
              <w:rPr>
                <w:rFonts w:cs="Arial"/>
                <w:color w:val="000000" w:themeColor="text1"/>
                <w:sz w:val="18"/>
                <w:szCs w:val="18"/>
              </w:rPr>
              <w:t>6.4</w:t>
            </w:r>
          </w:p>
        </w:tc>
      </w:tr>
      <w:tr w:rsidR="003E52FA" w:rsidRPr="00B52BF6" w14:paraId="398A48F7" w14:textId="77777777" w:rsidTr="00447E4A">
        <w:trPr>
          <w:trHeight w:val="340"/>
        </w:trPr>
        <w:tc>
          <w:tcPr>
            <w:tcW w:w="2879" w:type="dxa"/>
            <w:vAlign w:val="center"/>
          </w:tcPr>
          <w:p w14:paraId="3192F98E" w14:textId="77777777" w:rsidR="003E52FA" w:rsidRPr="00B52BF6" w:rsidRDefault="003E52FA" w:rsidP="00447E4A">
            <w:pPr>
              <w:ind w:right="252"/>
              <w:jc w:val="right"/>
              <w:rPr>
                <w:rFonts w:cs="Arial"/>
                <w:color w:val="000000" w:themeColor="text1"/>
                <w:sz w:val="18"/>
                <w:szCs w:val="18"/>
              </w:rPr>
            </w:pPr>
            <w:r w:rsidRPr="00B52BF6">
              <w:rPr>
                <w:rFonts w:cs="Arial"/>
                <w:color w:val="000000" w:themeColor="text1"/>
                <w:sz w:val="18"/>
                <w:szCs w:val="18"/>
              </w:rPr>
              <w:t>Water (% w/w)</w:t>
            </w:r>
          </w:p>
        </w:tc>
        <w:tc>
          <w:tcPr>
            <w:tcW w:w="1852" w:type="dxa"/>
            <w:vAlign w:val="center"/>
          </w:tcPr>
          <w:p w14:paraId="6E7C81BE" w14:textId="77777777" w:rsidR="003E52FA" w:rsidRPr="00B52BF6" w:rsidRDefault="003E52FA" w:rsidP="00447E4A">
            <w:pPr>
              <w:jc w:val="center"/>
              <w:rPr>
                <w:rFonts w:cs="Arial"/>
                <w:color w:val="000000" w:themeColor="text1"/>
                <w:sz w:val="18"/>
                <w:szCs w:val="18"/>
              </w:rPr>
            </w:pPr>
            <w:r>
              <w:rPr>
                <w:rFonts w:cs="Arial"/>
                <w:color w:val="000000" w:themeColor="text1"/>
                <w:sz w:val="18"/>
                <w:szCs w:val="18"/>
              </w:rPr>
              <w:t>90.7</w:t>
            </w:r>
          </w:p>
        </w:tc>
      </w:tr>
      <w:tr w:rsidR="003E52FA" w:rsidRPr="00B52BF6" w14:paraId="0B48C6D9" w14:textId="77777777" w:rsidTr="00447E4A">
        <w:trPr>
          <w:trHeight w:val="340"/>
        </w:trPr>
        <w:tc>
          <w:tcPr>
            <w:tcW w:w="2879" w:type="dxa"/>
            <w:vAlign w:val="center"/>
          </w:tcPr>
          <w:p w14:paraId="091DF7A3" w14:textId="77777777" w:rsidR="003E52FA" w:rsidRPr="00B52BF6" w:rsidRDefault="003E52FA" w:rsidP="00447E4A">
            <w:pPr>
              <w:ind w:right="252"/>
              <w:jc w:val="right"/>
              <w:rPr>
                <w:rFonts w:cs="Arial"/>
                <w:color w:val="000000" w:themeColor="text1"/>
                <w:sz w:val="18"/>
                <w:szCs w:val="18"/>
              </w:rPr>
            </w:pPr>
            <w:r>
              <w:rPr>
                <w:rFonts w:cs="Arial"/>
                <w:color w:val="000000" w:themeColor="text1"/>
                <w:sz w:val="18"/>
                <w:szCs w:val="18"/>
              </w:rPr>
              <w:t>pH</w:t>
            </w:r>
          </w:p>
        </w:tc>
        <w:tc>
          <w:tcPr>
            <w:tcW w:w="1852" w:type="dxa"/>
            <w:vAlign w:val="center"/>
          </w:tcPr>
          <w:p w14:paraId="5DB1DBC4" w14:textId="77777777" w:rsidR="003E52FA" w:rsidRDefault="003E52FA" w:rsidP="00447E4A">
            <w:pPr>
              <w:jc w:val="center"/>
              <w:rPr>
                <w:rFonts w:cs="Arial"/>
                <w:color w:val="000000" w:themeColor="text1"/>
                <w:sz w:val="18"/>
                <w:szCs w:val="18"/>
              </w:rPr>
            </w:pPr>
            <w:r>
              <w:rPr>
                <w:rFonts w:cs="Arial"/>
                <w:color w:val="000000" w:themeColor="text1"/>
                <w:sz w:val="18"/>
                <w:szCs w:val="18"/>
              </w:rPr>
              <w:t>7.5</w:t>
            </w:r>
          </w:p>
        </w:tc>
      </w:tr>
      <w:tr w:rsidR="003E52FA" w:rsidRPr="00B52BF6" w14:paraId="1B2DB893" w14:textId="77777777" w:rsidTr="00447E4A">
        <w:trPr>
          <w:trHeight w:val="340"/>
        </w:trPr>
        <w:tc>
          <w:tcPr>
            <w:tcW w:w="2879" w:type="dxa"/>
            <w:vAlign w:val="center"/>
          </w:tcPr>
          <w:p w14:paraId="020121BE" w14:textId="77777777" w:rsidR="003E52FA" w:rsidRDefault="003E52FA" w:rsidP="00447E4A">
            <w:pPr>
              <w:ind w:right="252"/>
              <w:jc w:val="right"/>
              <w:rPr>
                <w:rFonts w:cs="Arial"/>
                <w:color w:val="000000" w:themeColor="text1"/>
                <w:sz w:val="18"/>
                <w:szCs w:val="18"/>
              </w:rPr>
            </w:pPr>
            <w:r>
              <w:rPr>
                <w:rFonts w:cs="Arial"/>
                <w:color w:val="000000" w:themeColor="text1"/>
                <w:sz w:val="18"/>
                <w:szCs w:val="18"/>
              </w:rPr>
              <w:t>Ash at 600ºC (% w/w)</w:t>
            </w:r>
          </w:p>
        </w:tc>
        <w:tc>
          <w:tcPr>
            <w:tcW w:w="1852" w:type="dxa"/>
            <w:vAlign w:val="center"/>
          </w:tcPr>
          <w:p w14:paraId="00781E44" w14:textId="77777777" w:rsidR="003E52FA" w:rsidRDefault="003E52FA" w:rsidP="00447E4A">
            <w:pPr>
              <w:jc w:val="center"/>
              <w:rPr>
                <w:rFonts w:cs="Arial"/>
                <w:color w:val="000000" w:themeColor="text1"/>
                <w:sz w:val="18"/>
                <w:szCs w:val="18"/>
              </w:rPr>
            </w:pPr>
            <w:r>
              <w:rPr>
                <w:rFonts w:cs="Arial"/>
                <w:color w:val="000000" w:themeColor="text1"/>
                <w:sz w:val="18"/>
                <w:szCs w:val="18"/>
              </w:rPr>
              <w:t>2.9</w:t>
            </w:r>
          </w:p>
        </w:tc>
      </w:tr>
      <w:tr w:rsidR="003E52FA" w:rsidRPr="00B52BF6" w14:paraId="1EB6BE7A" w14:textId="77777777" w:rsidTr="00447E4A">
        <w:trPr>
          <w:trHeight w:val="340"/>
        </w:trPr>
        <w:tc>
          <w:tcPr>
            <w:tcW w:w="2879" w:type="dxa"/>
            <w:vAlign w:val="center"/>
          </w:tcPr>
          <w:p w14:paraId="440EADC6" w14:textId="13CB123B" w:rsidR="003E52FA" w:rsidRDefault="003E52FA" w:rsidP="00B35AF5">
            <w:pPr>
              <w:ind w:right="252"/>
              <w:jc w:val="right"/>
              <w:rPr>
                <w:rFonts w:cs="Arial"/>
                <w:color w:val="000000" w:themeColor="text1"/>
                <w:sz w:val="18"/>
                <w:szCs w:val="18"/>
              </w:rPr>
            </w:pPr>
            <w:r>
              <w:rPr>
                <w:rFonts w:cs="Arial"/>
                <w:color w:val="000000" w:themeColor="text1"/>
                <w:sz w:val="18"/>
                <w:szCs w:val="18"/>
              </w:rPr>
              <w:t>Specific gravity</w:t>
            </w:r>
          </w:p>
        </w:tc>
        <w:tc>
          <w:tcPr>
            <w:tcW w:w="1852" w:type="dxa"/>
            <w:vAlign w:val="center"/>
          </w:tcPr>
          <w:p w14:paraId="022D4B84" w14:textId="77777777" w:rsidR="003E52FA" w:rsidRDefault="003E52FA" w:rsidP="00447E4A">
            <w:pPr>
              <w:jc w:val="center"/>
              <w:rPr>
                <w:rFonts w:cs="Arial"/>
                <w:color w:val="000000" w:themeColor="text1"/>
                <w:sz w:val="18"/>
                <w:szCs w:val="18"/>
              </w:rPr>
            </w:pPr>
            <w:r>
              <w:rPr>
                <w:rFonts w:cs="Arial"/>
                <w:color w:val="000000" w:themeColor="text1"/>
                <w:sz w:val="18"/>
                <w:szCs w:val="18"/>
              </w:rPr>
              <w:t>1.050</w:t>
            </w:r>
          </w:p>
        </w:tc>
      </w:tr>
      <w:tr w:rsidR="003E52FA" w:rsidRPr="00B52BF6" w14:paraId="379A32FF" w14:textId="77777777" w:rsidTr="00447E4A">
        <w:trPr>
          <w:trHeight w:val="340"/>
        </w:trPr>
        <w:tc>
          <w:tcPr>
            <w:tcW w:w="2879" w:type="dxa"/>
            <w:vAlign w:val="center"/>
          </w:tcPr>
          <w:p w14:paraId="63B618A6" w14:textId="77777777" w:rsidR="003E52FA" w:rsidRPr="00B52BF6" w:rsidRDefault="003E52FA" w:rsidP="00447E4A">
            <w:pPr>
              <w:ind w:right="252"/>
              <w:jc w:val="right"/>
              <w:rPr>
                <w:rFonts w:cs="Arial"/>
                <w:color w:val="000000" w:themeColor="text1"/>
                <w:sz w:val="18"/>
                <w:szCs w:val="18"/>
              </w:rPr>
            </w:pPr>
            <w:r>
              <w:rPr>
                <w:rFonts w:cs="Arial"/>
                <w:color w:val="000000" w:themeColor="text1"/>
                <w:sz w:val="18"/>
                <w:szCs w:val="18"/>
              </w:rPr>
              <w:t>Dry Matter (% w/w)</w:t>
            </w:r>
          </w:p>
        </w:tc>
        <w:tc>
          <w:tcPr>
            <w:tcW w:w="1852" w:type="dxa"/>
            <w:vAlign w:val="center"/>
          </w:tcPr>
          <w:p w14:paraId="5BDC9057" w14:textId="77777777" w:rsidR="003E52FA" w:rsidRPr="00B52BF6" w:rsidRDefault="003E52FA" w:rsidP="00447E4A">
            <w:pPr>
              <w:jc w:val="center"/>
              <w:rPr>
                <w:rFonts w:cs="Arial"/>
                <w:color w:val="000000" w:themeColor="text1"/>
                <w:sz w:val="18"/>
                <w:szCs w:val="18"/>
              </w:rPr>
            </w:pPr>
            <w:r>
              <w:rPr>
                <w:rFonts w:cs="Arial"/>
                <w:color w:val="000000" w:themeColor="text1"/>
                <w:sz w:val="18"/>
                <w:szCs w:val="18"/>
              </w:rPr>
              <w:t>9.3</w:t>
            </w:r>
          </w:p>
        </w:tc>
      </w:tr>
    </w:tbl>
    <w:p w14:paraId="31A32EDD" w14:textId="4551B8FD" w:rsidR="003E52FA" w:rsidRPr="005D6623" w:rsidRDefault="003E52FA" w:rsidP="005D6623">
      <w:pPr>
        <w:spacing w:before="60"/>
        <w:ind w:left="567" w:right="3827"/>
        <w:rPr>
          <w:sz w:val="20"/>
        </w:rPr>
      </w:pPr>
      <w:r w:rsidRPr="005D6623">
        <w:rPr>
          <w:rFonts w:cs="Arial"/>
          <w:sz w:val="18"/>
        </w:rPr>
        <w:t>†</w:t>
      </w:r>
      <w:r w:rsidRPr="005D6623">
        <w:rPr>
          <w:sz w:val="18"/>
        </w:rPr>
        <w:t xml:space="preserve"> LAU - lactase activity units as determined by </w:t>
      </w:r>
      <w:r w:rsidR="005D6623">
        <w:rPr>
          <w:sz w:val="18"/>
        </w:rPr>
        <w:t>h</w:t>
      </w:r>
      <w:r w:rsidRPr="005D6623">
        <w:rPr>
          <w:sz w:val="18"/>
        </w:rPr>
        <w:t xml:space="preserve">ydrolysis of </w:t>
      </w:r>
      <w:r w:rsidRPr="00221BD3">
        <w:rPr>
          <w:i/>
          <w:sz w:val="18"/>
        </w:rPr>
        <w:t>o</w:t>
      </w:r>
      <w:r w:rsidRPr="005D6623">
        <w:rPr>
          <w:sz w:val="18"/>
        </w:rPr>
        <w:t xml:space="preserve">-nitrophenyl </w:t>
      </w:r>
      <w:r w:rsidR="00C97C23">
        <w:rPr>
          <w:rFonts w:cs="Arial"/>
          <w:sz w:val="18"/>
        </w:rPr>
        <w:t>β</w:t>
      </w:r>
      <w:r w:rsidRPr="005D6623">
        <w:rPr>
          <w:sz w:val="18"/>
        </w:rPr>
        <w:t>-D-galatopyranoside</w:t>
      </w:r>
    </w:p>
    <w:p w14:paraId="43B67AB1" w14:textId="26171024" w:rsidR="00026D72" w:rsidRDefault="00337FF5" w:rsidP="008D614B">
      <w:pPr>
        <w:pStyle w:val="Heading3"/>
      </w:pPr>
      <w:bookmarkStart w:id="33" w:name="_Toc473540367"/>
      <w:r w:rsidRPr="00DD6B6A">
        <w:t>3.4.1</w:t>
      </w:r>
      <w:r w:rsidRPr="00DD6B6A">
        <w:tab/>
      </w:r>
      <w:r w:rsidR="003E52FA">
        <w:t>Mutagenicity</w:t>
      </w:r>
      <w:bookmarkEnd w:id="33"/>
    </w:p>
    <w:tbl>
      <w:tblPr>
        <w:tblStyle w:val="TableGrid"/>
        <w:tblW w:w="0" w:type="auto"/>
        <w:tblLook w:val="04A0" w:firstRow="1" w:lastRow="0" w:firstColumn="1" w:lastColumn="0" w:noHBand="0" w:noVBand="1"/>
      </w:tblPr>
      <w:tblGrid>
        <w:gridCol w:w="9286"/>
      </w:tblGrid>
      <w:tr w:rsidR="00DE23A6" w14:paraId="58EF828C" w14:textId="77777777" w:rsidTr="008D614B">
        <w:tc>
          <w:tcPr>
            <w:tcW w:w="9286" w:type="dxa"/>
          </w:tcPr>
          <w:p w14:paraId="77E2DD64" w14:textId="55543CB0" w:rsidR="00EA2529" w:rsidRPr="00EA2529" w:rsidRDefault="00EA2529" w:rsidP="008D614B">
            <w:pPr>
              <w:spacing w:before="120" w:after="120"/>
              <w:ind w:left="142" w:right="139"/>
              <w:jc w:val="both"/>
              <w:rPr>
                <w:rFonts w:cs="Arial"/>
                <w:b/>
                <w:sz w:val="20"/>
                <w:szCs w:val="20"/>
              </w:rPr>
            </w:pPr>
            <w:r w:rsidRPr="00EA2529">
              <w:rPr>
                <w:rFonts w:cs="Arial"/>
                <w:b/>
                <w:sz w:val="20"/>
                <w:szCs w:val="20"/>
              </w:rPr>
              <w:t>Studies submitted</w:t>
            </w:r>
          </w:p>
          <w:p w14:paraId="089533B7" w14:textId="36B7716E" w:rsidR="00DE23A6" w:rsidRDefault="00DE23A6" w:rsidP="008D614B">
            <w:pPr>
              <w:spacing w:before="120" w:after="120"/>
              <w:ind w:left="142" w:right="139"/>
              <w:jc w:val="both"/>
              <w:rPr>
                <w:rFonts w:cs="Arial"/>
                <w:sz w:val="20"/>
                <w:szCs w:val="20"/>
              </w:rPr>
            </w:pPr>
            <w:r>
              <w:rPr>
                <w:rFonts w:cs="Arial"/>
                <w:sz w:val="20"/>
                <w:szCs w:val="20"/>
              </w:rPr>
              <w:t>Pedersen PB (2013</w:t>
            </w:r>
            <w:r w:rsidRPr="007901E1">
              <w:rPr>
                <w:rFonts w:cs="Arial"/>
                <w:sz w:val="20"/>
                <w:szCs w:val="20"/>
              </w:rPr>
              <w:t xml:space="preserve">) </w:t>
            </w:r>
            <w:r>
              <w:rPr>
                <w:rFonts w:cs="Arial"/>
                <w:sz w:val="20"/>
                <w:szCs w:val="20"/>
              </w:rPr>
              <w:t xml:space="preserve">Lactase, batch PPL34637: Test for mutagenic activity with strains </w:t>
            </w:r>
            <w:r w:rsidRPr="00B00ED6">
              <w:rPr>
                <w:rFonts w:cs="Arial"/>
                <w:i/>
                <w:sz w:val="20"/>
                <w:szCs w:val="20"/>
              </w:rPr>
              <w:t>Salmonella typhimurium</w:t>
            </w:r>
            <w:r>
              <w:rPr>
                <w:rFonts w:cs="Arial"/>
                <w:sz w:val="20"/>
                <w:szCs w:val="20"/>
              </w:rPr>
              <w:t xml:space="preserve"> and </w:t>
            </w:r>
            <w:r w:rsidRPr="00B00ED6">
              <w:rPr>
                <w:rFonts w:cs="Arial"/>
                <w:i/>
                <w:sz w:val="20"/>
                <w:szCs w:val="20"/>
              </w:rPr>
              <w:t>Escherichia coli</w:t>
            </w:r>
            <w:r>
              <w:rPr>
                <w:rFonts w:cs="Arial"/>
                <w:sz w:val="20"/>
                <w:szCs w:val="20"/>
              </w:rPr>
              <w:t>.</w:t>
            </w:r>
            <w:r w:rsidRPr="007901E1">
              <w:rPr>
                <w:rFonts w:cs="Arial"/>
                <w:sz w:val="20"/>
                <w:szCs w:val="20"/>
              </w:rPr>
              <w:t xml:space="preserve"> Report</w:t>
            </w:r>
            <w:r>
              <w:rPr>
                <w:rFonts w:cs="Arial"/>
                <w:sz w:val="20"/>
                <w:szCs w:val="20"/>
              </w:rPr>
              <w:t xml:space="preserve">: Study No. 20138037. Novozymes A/S, </w:t>
            </w:r>
            <w:r w:rsidR="005F5ED5">
              <w:rPr>
                <w:rFonts w:cs="Arial"/>
                <w:sz w:val="20"/>
                <w:szCs w:val="20"/>
              </w:rPr>
              <w:t>(unpublished)</w:t>
            </w:r>
          </w:p>
          <w:p w14:paraId="1A8E1CB1" w14:textId="75A939DB" w:rsidR="00DE23A6" w:rsidRPr="008D614B" w:rsidRDefault="00DE23A6" w:rsidP="005F5ED5">
            <w:pPr>
              <w:spacing w:after="120"/>
              <w:ind w:left="142" w:right="139"/>
              <w:jc w:val="both"/>
            </w:pPr>
            <w:r>
              <w:rPr>
                <w:rFonts w:cs="Arial"/>
                <w:sz w:val="20"/>
                <w:szCs w:val="20"/>
              </w:rPr>
              <w:t>Whitwell J (2014</w:t>
            </w:r>
            <w:r w:rsidRPr="007901E1">
              <w:rPr>
                <w:rFonts w:cs="Arial"/>
                <w:sz w:val="20"/>
                <w:szCs w:val="20"/>
              </w:rPr>
              <w:t xml:space="preserve">) </w:t>
            </w:r>
            <w:r>
              <w:rPr>
                <w:rFonts w:cs="Arial"/>
                <w:sz w:val="20"/>
                <w:szCs w:val="20"/>
              </w:rPr>
              <w:t>Lactase, PPL34637: Induction of micronuclei in cultured human peripheral blood lymphocytes.</w:t>
            </w:r>
            <w:r w:rsidRPr="007901E1">
              <w:rPr>
                <w:rFonts w:cs="Arial"/>
                <w:sz w:val="20"/>
                <w:szCs w:val="20"/>
              </w:rPr>
              <w:t xml:space="preserve"> </w:t>
            </w:r>
            <w:r>
              <w:rPr>
                <w:rFonts w:cs="Arial"/>
                <w:sz w:val="20"/>
                <w:szCs w:val="20"/>
              </w:rPr>
              <w:t xml:space="preserve">Study No. 8292559 / NZ 20136071.  Covance Laboratories Ltd, </w:t>
            </w:r>
            <w:r w:rsidR="005F5ED5">
              <w:rPr>
                <w:rFonts w:cs="Arial"/>
                <w:sz w:val="20"/>
                <w:szCs w:val="20"/>
              </w:rPr>
              <w:t>(unpublished).</w:t>
            </w:r>
          </w:p>
        </w:tc>
      </w:tr>
    </w:tbl>
    <w:p w14:paraId="693C2337" w14:textId="77777777" w:rsidR="00026D72" w:rsidRDefault="00026D72" w:rsidP="003E52FA">
      <w:pPr>
        <w:jc w:val="both"/>
      </w:pPr>
    </w:p>
    <w:p w14:paraId="4A97178F" w14:textId="07775D5E" w:rsidR="003E52FA" w:rsidRDefault="003E52FA" w:rsidP="008D614B">
      <w:r>
        <w:t xml:space="preserve">The outcome of these mutagenicity studies are summarised in Table 3.2. Appropriate controls were tested in these studies and </w:t>
      </w:r>
      <w:r>
        <w:lastRenderedPageBreak/>
        <w:t>gave the expected results. Treatments were performed with lactase in the absence or presence of Aroclor-1254 activated S9 mix. Both studies gave negative results.</w:t>
      </w:r>
    </w:p>
    <w:p w14:paraId="216F9DFF" w14:textId="77777777" w:rsidR="003E52FA" w:rsidRDefault="003E52FA" w:rsidP="003E52FA">
      <w:pPr>
        <w:jc w:val="both"/>
      </w:pPr>
    </w:p>
    <w:p w14:paraId="3CBC83AD" w14:textId="77777777" w:rsidR="0058504E" w:rsidRDefault="0058504E" w:rsidP="0058504E">
      <w:pPr>
        <w:rPr>
          <w:b/>
        </w:rPr>
      </w:pPr>
      <w:r>
        <w:rPr>
          <w:b/>
        </w:rPr>
        <w:br w:type="page"/>
      </w:r>
    </w:p>
    <w:p w14:paraId="5D01A3FF" w14:textId="5BDC08D5" w:rsidR="003E52FA" w:rsidRDefault="003E52FA" w:rsidP="00DC5F0E">
      <w:r w:rsidRPr="00DC5F0E">
        <w:rPr>
          <w:b/>
        </w:rPr>
        <w:lastRenderedPageBreak/>
        <w:t>Table 3.2:</w:t>
      </w:r>
      <w:r w:rsidR="0058504E">
        <w:rPr>
          <w:b/>
        </w:rPr>
        <w:t xml:space="preserve"> </w:t>
      </w:r>
      <w:r w:rsidRPr="00DC5F0E">
        <w:rPr>
          <w:b/>
        </w:rPr>
        <w:t>Summary of mutagenesis assay results</w:t>
      </w:r>
    </w:p>
    <w:p w14:paraId="3C54E2EC" w14:textId="77777777" w:rsidR="0058504E" w:rsidRPr="00DC5F0E" w:rsidRDefault="0058504E" w:rsidP="00DC5F0E"/>
    <w:tbl>
      <w:tblPr>
        <w:tblStyle w:val="TableGrid"/>
        <w:tblW w:w="9308" w:type="dxa"/>
        <w:tblInd w:w="108" w:type="dxa"/>
        <w:tblLook w:val="04A0" w:firstRow="1" w:lastRow="0" w:firstColumn="1" w:lastColumn="0" w:noHBand="0" w:noVBand="1"/>
      </w:tblPr>
      <w:tblGrid>
        <w:gridCol w:w="1430"/>
        <w:gridCol w:w="2398"/>
        <w:gridCol w:w="1559"/>
        <w:gridCol w:w="2929"/>
        <w:gridCol w:w="992"/>
      </w:tblGrid>
      <w:tr w:rsidR="003E52FA" w:rsidRPr="004058DC" w14:paraId="4C0C8D4B" w14:textId="77777777" w:rsidTr="00447E4A">
        <w:trPr>
          <w:trHeight w:val="619"/>
          <w:tblHeader/>
        </w:trPr>
        <w:tc>
          <w:tcPr>
            <w:tcW w:w="1430" w:type="dxa"/>
            <w:shd w:val="clear" w:color="auto" w:fill="C6D9F1" w:themeFill="text2" w:themeFillTint="33"/>
            <w:vAlign w:val="center"/>
          </w:tcPr>
          <w:p w14:paraId="22FD4801" w14:textId="77777777" w:rsidR="003E52FA" w:rsidRPr="004058DC" w:rsidRDefault="003E52FA" w:rsidP="00447E4A">
            <w:pPr>
              <w:jc w:val="center"/>
              <w:rPr>
                <w:rFonts w:cs="Arial"/>
                <w:b/>
                <w:color w:val="000000" w:themeColor="text1"/>
                <w:sz w:val="18"/>
                <w:szCs w:val="18"/>
              </w:rPr>
            </w:pPr>
            <w:r w:rsidRPr="004058DC">
              <w:rPr>
                <w:rFonts w:cs="Arial"/>
                <w:b/>
                <w:color w:val="000000" w:themeColor="text1"/>
                <w:sz w:val="18"/>
                <w:szCs w:val="18"/>
              </w:rPr>
              <w:t>Test</w:t>
            </w:r>
          </w:p>
        </w:tc>
        <w:tc>
          <w:tcPr>
            <w:tcW w:w="2398" w:type="dxa"/>
            <w:shd w:val="clear" w:color="auto" w:fill="C6D9F1" w:themeFill="text2" w:themeFillTint="33"/>
            <w:vAlign w:val="center"/>
          </w:tcPr>
          <w:p w14:paraId="69C00416" w14:textId="77777777" w:rsidR="003E52FA" w:rsidRPr="004058DC" w:rsidRDefault="003E52FA" w:rsidP="00447E4A">
            <w:pPr>
              <w:jc w:val="center"/>
              <w:rPr>
                <w:rFonts w:cs="Arial"/>
                <w:b/>
                <w:color w:val="000000" w:themeColor="text1"/>
                <w:sz w:val="18"/>
                <w:szCs w:val="18"/>
              </w:rPr>
            </w:pPr>
            <w:r w:rsidRPr="004058DC">
              <w:rPr>
                <w:rFonts w:cs="Arial"/>
                <w:b/>
                <w:color w:val="000000" w:themeColor="text1"/>
                <w:sz w:val="18"/>
                <w:szCs w:val="18"/>
              </w:rPr>
              <w:t>Test system</w:t>
            </w:r>
          </w:p>
        </w:tc>
        <w:tc>
          <w:tcPr>
            <w:tcW w:w="1559" w:type="dxa"/>
            <w:shd w:val="clear" w:color="auto" w:fill="C6D9F1" w:themeFill="text2" w:themeFillTint="33"/>
            <w:vAlign w:val="center"/>
          </w:tcPr>
          <w:p w14:paraId="0669A2E7" w14:textId="77777777" w:rsidR="003E52FA" w:rsidRPr="004058DC" w:rsidRDefault="003E52FA" w:rsidP="00447E4A">
            <w:pPr>
              <w:jc w:val="center"/>
              <w:rPr>
                <w:rFonts w:cs="Arial"/>
                <w:b/>
                <w:color w:val="000000" w:themeColor="text1"/>
                <w:sz w:val="18"/>
                <w:szCs w:val="18"/>
              </w:rPr>
            </w:pPr>
            <w:r w:rsidRPr="004058DC">
              <w:rPr>
                <w:rFonts w:cs="Arial"/>
                <w:b/>
                <w:color w:val="000000" w:themeColor="text1"/>
                <w:sz w:val="18"/>
                <w:szCs w:val="18"/>
              </w:rPr>
              <w:t>Test article</w:t>
            </w:r>
          </w:p>
        </w:tc>
        <w:tc>
          <w:tcPr>
            <w:tcW w:w="2929" w:type="dxa"/>
            <w:shd w:val="clear" w:color="auto" w:fill="C6D9F1" w:themeFill="text2" w:themeFillTint="33"/>
            <w:vAlign w:val="center"/>
          </w:tcPr>
          <w:p w14:paraId="1D9B2268" w14:textId="77777777" w:rsidR="003E52FA" w:rsidRPr="004058DC" w:rsidRDefault="003E52FA" w:rsidP="00447E4A">
            <w:pPr>
              <w:jc w:val="center"/>
              <w:rPr>
                <w:rFonts w:cs="Arial"/>
                <w:b/>
                <w:color w:val="000000" w:themeColor="text1"/>
                <w:sz w:val="18"/>
                <w:szCs w:val="18"/>
              </w:rPr>
            </w:pPr>
            <w:r w:rsidRPr="004058DC">
              <w:rPr>
                <w:rFonts w:cs="Arial"/>
                <w:b/>
                <w:color w:val="000000" w:themeColor="text1"/>
                <w:sz w:val="18"/>
                <w:szCs w:val="18"/>
              </w:rPr>
              <w:t>Concentration or dose range</w:t>
            </w:r>
          </w:p>
        </w:tc>
        <w:tc>
          <w:tcPr>
            <w:tcW w:w="992" w:type="dxa"/>
            <w:shd w:val="clear" w:color="auto" w:fill="C6D9F1" w:themeFill="text2" w:themeFillTint="33"/>
            <w:vAlign w:val="center"/>
          </w:tcPr>
          <w:p w14:paraId="6383A2E1" w14:textId="77777777" w:rsidR="003E52FA" w:rsidRPr="004058DC" w:rsidRDefault="003E52FA" w:rsidP="00447E4A">
            <w:pPr>
              <w:jc w:val="center"/>
              <w:rPr>
                <w:rFonts w:cs="Arial"/>
                <w:b/>
                <w:color w:val="000000" w:themeColor="text1"/>
                <w:sz w:val="18"/>
                <w:szCs w:val="18"/>
              </w:rPr>
            </w:pPr>
            <w:r w:rsidRPr="004058DC">
              <w:rPr>
                <w:rFonts w:cs="Arial"/>
                <w:b/>
                <w:color w:val="000000" w:themeColor="text1"/>
                <w:sz w:val="18"/>
                <w:szCs w:val="18"/>
              </w:rPr>
              <w:t>Result</w:t>
            </w:r>
          </w:p>
        </w:tc>
      </w:tr>
      <w:tr w:rsidR="003E52FA" w:rsidRPr="004058DC" w14:paraId="04B55174" w14:textId="77777777" w:rsidTr="00447E4A">
        <w:trPr>
          <w:trHeight w:val="1267"/>
        </w:trPr>
        <w:tc>
          <w:tcPr>
            <w:tcW w:w="1430" w:type="dxa"/>
            <w:vAlign w:val="center"/>
          </w:tcPr>
          <w:p w14:paraId="1895643E" w14:textId="77777777" w:rsidR="003E52FA" w:rsidRPr="00A66395" w:rsidRDefault="003E52FA" w:rsidP="00447E4A">
            <w:pPr>
              <w:rPr>
                <w:rFonts w:cs="Arial"/>
                <w:color w:val="000000" w:themeColor="text1"/>
                <w:sz w:val="18"/>
                <w:szCs w:val="18"/>
              </w:rPr>
            </w:pPr>
            <w:r w:rsidRPr="00A66395">
              <w:rPr>
                <w:rFonts w:cs="Arial"/>
                <w:color w:val="000000" w:themeColor="text1"/>
                <w:sz w:val="18"/>
                <w:szCs w:val="18"/>
              </w:rPr>
              <w:t xml:space="preserve">Bacterial Reverse Mutation Assay </w:t>
            </w:r>
          </w:p>
          <w:p w14:paraId="36336AE0" w14:textId="77777777" w:rsidR="003E52FA" w:rsidRPr="00A66395" w:rsidRDefault="003E52FA" w:rsidP="00447E4A">
            <w:pPr>
              <w:rPr>
                <w:rFonts w:cs="Arial"/>
                <w:color w:val="000000" w:themeColor="text1"/>
                <w:sz w:val="18"/>
                <w:szCs w:val="18"/>
              </w:rPr>
            </w:pPr>
            <w:r w:rsidRPr="00A66395">
              <w:rPr>
                <w:rFonts w:cs="Arial"/>
                <w:color w:val="000000" w:themeColor="text1"/>
                <w:sz w:val="18"/>
                <w:szCs w:val="18"/>
              </w:rPr>
              <w:t>(Ames test)</w:t>
            </w:r>
          </w:p>
        </w:tc>
        <w:tc>
          <w:tcPr>
            <w:tcW w:w="2398" w:type="dxa"/>
            <w:vAlign w:val="center"/>
          </w:tcPr>
          <w:p w14:paraId="6D97F0BC" w14:textId="77777777" w:rsidR="003E52FA" w:rsidRPr="00A66395" w:rsidRDefault="003E52FA" w:rsidP="00447E4A">
            <w:pPr>
              <w:ind w:left="22"/>
              <w:rPr>
                <w:rFonts w:cs="Arial"/>
                <w:color w:val="000000" w:themeColor="text1"/>
                <w:sz w:val="18"/>
                <w:szCs w:val="18"/>
              </w:rPr>
            </w:pPr>
            <w:r w:rsidRPr="00A66395">
              <w:rPr>
                <w:rFonts w:cs="Arial"/>
                <w:i/>
                <w:color w:val="000000" w:themeColor="text1"/>
                <w:sz w:val="18"/>
                <w:szCs w:val="18"/>
              </w:rPr>
              <w:t>Salmonella typhimurium</w:t>
            </w:r>
            <w:r w:rsidRPr="00A66395">
              <w:rPr>
                <w:rFonts w:cs="Arial"/>
                <w:color w:val="000000" w:themeColor="text1"/>
                <w:sz w:val="18"/>
                <w:szCs w:val="18"/>
              </w:rPr>
              <w:t xml:space="preserve"> strains TA1535, TA100, TA1537 &amp; TA98</w:t>
            </w:r>
          </w:p>
          <w:p w14:paraId="78FB4292" w14:textId="792DD31F" w:rsidR="003E52FA" w:rsidRPr="00A66395" w:rsidRDefault="003E52FA" w:rsidP="00447E4A">
            <w:pPr>
              <w:spacing w:before="60"/>
              <w:ind w:left="23"/>
              <w:rPr>
                <w:rFonts w:cs="Arial"/>
                <w:color w:val="000000" w:themeColor="text1"/>
                <w:sz w:val="18"/>
                <w:szCs w:val="18"/>
              </w:rPr>
            </w:pPr>
            <w:r w:rsidRPr="00A66395">
              <w:rPr>
                <w:rFonts w:cs="Arial"/>
                <w:i/>
                <w:color w:val="000000" w:themeColor="text1"/>
                <w:sz w:val="18"/>
                <w:szCs w:val="18"/>
              </w:rPr>
              <w:t>Escherichia coli</w:t>
            </w:r>
            <w:r w:rsidRPr="00A66395">
              <w:rPr>
                <w:rFonts w:cs="Arial"/>
                <w:color w:val="000000" w:themeColor="text1"/>
                <w:sz w:val="18"/>
                <w:szCs w:val="18"/>
              </w:rPr>
              <w:t xml:space="preserve"> strain WP2 </w:t>
            </w:r>
            <w:r w:rsidRPr="00A66395">
              <w:rPr>
                <w:rFonts w:cs="Arial"/>
                <w:i/>
                <w:color w:val="000000" w:themeColor="text1"/>
                <w:sz w:val="18"/>
                <w:szCs w:val="18"/>
              </w:rPr>
              <w:t>uvrA pKM101</w:t>
            </w:r>
          </w:p>
        </w:tc>
        <w:tc>
          <w:tcPr>
            <w:tcW w:w="1559" w:type="dxa"/>
            <w:vAlign w:val="center"/>
          </w:tcPr>
          <w:p w14:paraId="5A35D8FE" w14:textId="77777777" w:rsidR="003E52FA" w:rsidRPr="00A66395" w:rsidRDefault="003E52FA" w:rsidP="00447E4A">
            <w:pPr>
              <w:rPr>
                <w:rFonts w:cs="Arial"/>
                <w:color w:val="000000" w:themeColor="text1"/>
                <w:sz w:val="18"/>
                <w:szCs w:val="18"/>
              </w:rPr>
            </w:pPr>
            <w:r w:rsidRPr="00A66395">
              <w:rPr>
                <w:rFonts w:cs="Arial"/>
                <w:color w:val="000000" w:themeColor="text1"/>
                <w:sz w:val="18"/>
                <w:szCs w:val="18"/>
              </w:rPr>
              <w:t>Lactase PPL34537</w:t>
            </w:r>
          </w:p>
          <w:p w14:paraId="5ED26F26" w14:textId="77777777" w:rsidR="003E52FA" w:rsidRPr="00A66395" w:rsidRDefault="003E52FA" w:rsidP="00447E4A">
            <w:pPr>
              <w:spacing w:before="60"/>
              <w:rPr>
                <w:rFonts w:cs="Arial"/>
                <w:color w:val="000000" w:themeColor="text1"/>
                <w:sz w:val="18"/>
                <w:szCs w:val="18"/>
              </w:rPr>
            </w:pPr>
            <w:r w:rsidRPr="00A66395">
              <w:rPr>
                <w:rFonts w:cs="Arial"/>
                <w:color w:val="000000" w:themeColor="text1"/>
                <w:sz w:val="18"/>
                <w:szCs w:val="18"/>
              </w:rPr>
              <w:t>Vehicle deionised water</w:t>
            </w:r>
          </w:p>
        </w:tc>
        <w:tc>
          <w:tcPr>
            <w:tcW w:w="2929" w:type="dxa"/>
            <w:vAlign w:val="center"/>
          </w:tcPr>
          <w:p w14:paraId="49FEEDB4" w14:textId="77777777" w:rsidR="003E52FA" w:rsidRPr="00A66395" w:rsidRDefault="003E52FA" w:rsidP="00447E4A">
            <w:pPr>
              <w:autoSpaceDE w:val="0"/>
              <w:autoSpaceDN w:val="0"/>
              <w:adjustRightInd w:val="0"/>
              <w:rPr>
                <w:rFonts w:cs="Arial"/>
                <w:color w:val="000000" w:themeColor="text1"/>
                <w:sz w:val="18"/>
                <w:szCs w:val="18"/>
              </w:rPr>
            </w:pPr>
            <w:r w:rsidRPr="00A66395">
              <w:rPr>
                <w:rFonts w:cs="Arial"/>
                <w:color w:val="000000" w:themeColor="text1"/>
                <w:sz w:val="18"/>
                <w:szCs w:val="18"/>
              </w:rPr>
              <w:t>156–5000 µg/ml ± S9</w:t>
            </w:r>
            <w:r w:rsidRPr="00A66395">
              <w:rPr>
                <w:rFonts w:cs="Arial"/>
                <w:color w:val="000000" w:themeColor="text1"/>
                <w:sz w:val="18"/>
                <w:szCs w:val="18"/>
                <w:vertAlign w:val="superscript"/>
              </w:rPr>
              <w:t>#</w:t>
            </w:r>
            <w:r w:rsidRPr="00A66395">
              <w:rPr>
                <w:rFonts w:cs="Arial"/>
                <w:color w:val="000000" w:themeColor="text1"/>
                <w:sz w:val="18"/>
                <w:szCs w:val="18"/>
              </w:rPr>
              <w:t xml:space="preserve"> or 0.2M phosphate buffer</w:t>
            </w:r>
          </w:p>
        </w:tc>
        <w:tc>
          <w:tcPr>
            <w:tcW w:w="992" w:type="dxa"/>
            <w:vAlign w:val="center"/>
          </w:tcPr>
          <w:p w14:paraId="53F1F79E" w14:textId="77777777" w:rsidR="003E52FA" w:rsidRPr="00A66395" w:rsidRDefault="003E52FA" w:rsidP="00447E4A">
            <w:pPr>
              <w:rPr>
                <w:rFonts w:cs="Arial"/>
                <w:color w:val="000000" w:themeColor="text1"/>
                <w:sz w:val="18"/>
                <w:szCs w:val="18"/>
              </w:rPr>
            </w:pPr>
            <w:r w:rsidRPr="00A66395">
              <w:rPr>
                <w:rFonts w:cs="Arial"/>
                <w:color w:val="000000" w:themeColor="text1"/>
                <w:sz w:val="18"/>
                <w:szCs w:val="18"/>
              </w:rPr>
              <w:t>Negative</w:t>
            </w:r>
          </w:p>
        </w:tc>
      </w:tr>
      <w:tr w:rsidR="003E52FA" w:rsidRPr="004058DC" w14:paraId="4D905892" w14:textId="77777777" w:rsidTr="00447E4A">
        <w:trPr>
          <w:trHeight w:val="1267"/>
        </w:trPr>
        <w:tc>
          <w:tcPr>
            <w:tcW w:w="1430" w:type="dxa"/>
            <w:vAlign w:val="center"/>
          </w:tcPr>
          <w:p w14:paraId="3B027594" w14:textId="77777777" w:rsidR="003E52FA" w:rsidRDefault="003E52FA" w:rsidP="00447E4A">
            <w:pPr>
              <w:rPr>
                <w:rFonts w:cs="Arial"/>
                <w:color w:val="000000" w:themeColor="text1"/>
                <w:sz w:val="18"/>
                <w:szCs w:val="18"/>
              </w:rPr>
            </w:pPr>
            <w:r w:rsidRPr="00A66395">
              <w:rPr>
                <w:rFonts w:cs="Arial"/>
                <w:i/>
                <w:color w:val="000000" w:themeColor="text1"/>
                <w:sz w:val="18"/>
                <w:szCs w:val="18"/>
              </w:rPr>
              <w:t>In vitro</w:t>
            </w:r>
            <w:r w:rsidRPr="00A66395">
              <w:rPr>
                <w:rFonts w:cs="Arial"/>
                <w:color w:val="000000" w:themeColor="text1"/>
                <w:sz w:val="18"/>
                <w:szCs w:val="18"/>
              </w:rPr>
              <w:t xml:space="preserve"> Micronucleus Assay</w:t>
            </w:r>
          </w:p>
          <w:p w14:paraId="68658F92" w14:textId="77777777" w:rsidR="003E52FA" w:rsidRPr="00A66395" w:rsidRDefault="003E52FA" w:rsidP="00447E4A">
            <w:pPr>
              <w:rPr>
                <w:rFonts w:cs="Arial"/>
                <w:color w:val="000000" w:themeColor="text1"/>
                <w:sz w:val="18"/>
                <w:szCs w:val="18"/>
              </w:rPr>
            </w:pPr>
            <w:r>
              <w:rPr>
                <w:rFonts w:cs="Arial"/>
                <w:color w:val="000000" w:themeColor="text1"/>
                <w:sz w:val="18"/>
                <w:szCs w:val="18"/>
              </w:rPr>
              <w:t>(Cytokinesis-block method)</w:t>
            </w:r>
          </w:p>
        </w:tc>
        <w:tc>
          <w:tcPr>
            <w:tcW w:w="2398" w:type="dxa"/>
            <w:vAlign w:val="center"/>
          </w:tcPr>
          <w:p w14:paraId="1B41C7F5" w14:textId="77777777" w:rsidR="003E52FA" w:rsidRPr="00A66395" w:rsidRDefault="003E52FA" w:rsidP="00447E4A">
            <w:pPr>
              <w:ind w:left="21" w:hanging="21"/>
              <w:rPr>
                <w:rFonts w:cs="Arial"/>
                <w:color w:val="000000" w:themeColor="text1"/>
                <w:sz w:val="18"/>
                <w:szCs w:val="18"/>
              </w:rPr>
            </w:pPr>
            <w:r w:rsidRPr="00A66395">
              <w:rPr>
                <w:rFonts w:cs="Arial"/>
                <w:color w:val="000000" w:themeColor="text1"/>
                <w:sz w:val="18"/>
                <w:szCs w:val="18"/>
              </w:rPr>
              <w:t>Human lymphocytes prepared from the pooled blood of 2 healthy, non-smoking  female donors</w:t>
            </w:r>
          </w:p>
        </w:tc>
        <w:tc>
          <w:tcPr>
            <w:tcW w:w="1559" w:type="dxa"/>
            <w:vAlign w:val="center"/>
          </w:tcPr>
          <w:p w14:paraId="45A0B568" w14:textId="77777777" w:rsidR="003E52FA" w:rsidRPr="00A66395" w:rsidRDefault="003E52FA" w:rsidP="00447E4A">
            <w:pPr>
              <w:rPr>
                <w:rFonts w:cs="Arial"/>
                <w:color w:val="000000" w:themeColor="text1"/>
                <w:sz w:val="18"/>
                <w:szCs w:val="18"/>
              </w:rPr>
            </w:pPr>
            <w:r w:rsidRPr="00A66395">
              <w:rPr>
                <w:rFonts w:cs="Arial"/>
                <w:color w:val="000000" w:themeColor="text1"/>
                <w:sz w:val="18"/>
                <w:szCs w:val="18"/>
              </w:rPr>
              <w:t>As above</w:t>
            </w:r>
          </w:p>
        </w:tc>
        <w:tc>
          <w:tcPr>
            <w:tcW w:w="2929" w:type="dxa"/>
            <w:vAlign w:val="center"/>
          </w:tcPr>
          <w:p w14:paraId="415C217C" w14:textId="77777777" w:rsidR="003E52FA" w:rsidRDefault="003E52FA" w:rsidP="00447E4A">
            <w:pPr>
              <w:autoSpaceDE w:val="0"/>
              <w:autoSpaceDN w:val="0"/>
              <w:adjustRightInd w:val="0"/>
              <w:rPr>
                <w:rFonts w:cs="Arial"/>
                <w:color w:val="000000" w:themeColor="text1"/>
                <w:sz w:val="18"/>
                <w:szCs w:val="16"/>
              </w:rPr>
            </w:pPr>
            <w:r w:rsidRPr="00A66395">
              <w:rPr>
                <w:rFonts w:cs="Arial"/>
                <w:color w:val="000000" w:themeColor="text1"/>
                <w:sz w:val="18"/>
                <w:szCs w:val="16"/>
              </w:rPr>
              <w:t>1</w:t>
            </w:r>
            <w:r w:rsidRPr="00A66395">
              <w:rPr>
                <w:rFonts w:cs="Arial"/>
                <w:color w:val="000000" w:themeColor="text1"/>
                <w:sz w:val="18"/>
                <w:szCs w:val="16"/>
                <w:vertAlign w:val="superscript"/>
              </w:rPr>
              <w:t>st</w:t>
            </w:r>
            <w:r w:rsidRPr="00A66395">
              <w:rPr>
                <w:rFonts w:cs="Arial"/>
                <w:color w:val="000000" w:themeColor="text1"/>
                <w:sz w:val="18"/>
                <w:szCs w:val="16"/>
              </w:rPr>
              <w:t xml:space="preserve"> experiment (3 h exposure)</w:t>
            </w:r>
          </w:p>
          <w:p w14:paraId="067D6F90" w14:textId="77777777" w:rsidR="003E52FA" w:rsidRPr="00A66395" w:rsidRDefault="003E52FA" w:rsidP="00447E4A">
            <w:pPr>
              <w:autoSpaceDE w:val="0"/>
              <w:autoSpaceDN w:val="0"/>
              <w:adjustRightInd w:val="0"/>
              <w:rPr>
                <w:rFonts w:cs="Arial"/>
                <w:color w:val="000000" w:themeColor="text1"/>
                <w:sz w:val="18"/>
                <w:szCs w:val="16"/>
              </w:rPr>
            </w:pPr>
            <w:r w:rsidRPr="00A66395">
              <w:rPr>
                <w:rFonts w:cs="Arial"/>
                <w:color w:val="000000" w:themeColor="text1"/>
                <w:sz w:val="18"/>
                <w:szCs w:val="16"/>
              </w:rPr>
              <w:t xml:space="preserve">3000-5000 </w:t>
            </w:r>
            <w:r w:rsidRPr="00A66395">
              <w:rPr>
                <w:rFonts w:cs="Arial"/>
                <w:color w:val="000000" w:themeColor="text1"/>
                <w:sz w:val="18"/>
                <w:szCs w:val="18"/>
              </w:rPr>
              <w:t>µg/ml</w:t>
            </w:r>
            <w:r w:rsidRPr="00A66395">
              <w:rPr>
                <w:rFonts w:cs="Arial"/>
                <w:color w:val="000000" w:themeColor="text1"/>
                <w:sz w:val="18"/>
                <w:szCs w:val="16"/>
              </w:rPr>
              <w:t xml:space="preserve"> ± S9</w:t>
            </w:r>
          </w:p>
          <w:p w14:paraId="152D8ECD" w14:textId="77777777" w:rsidR="003E52FA" w:rsidRPr="00A66395" w:rsidRDefault="003E52FA" w:rsidP="00447E4A">
            <w:pPr>
              <w:autoSpaceDE w:val="0"/>
              <w:autoSpaceDN w:val="0"/>
              <w:adjustRightInd w:val="0"/>
              <w:rPr>
                <w:rFonts w:cs="Arial"/>
                <w:color w:val="000000" w:themeColor="text1"/>
                <w:sz w:val="18"/>
                <w:szCs w:val="16"/>
              </w:rPr>
            </w:pPr>
          </w:p>
          <w:p w14:paraId="0FCC1DC0" w14:textId="77777777" w:rsidR="003E52FA" w:rsidRDefault="003E52FA" w:rsidP="00447E4A">
            <w:pPr>
              <w:autoSpaceDE w:val="0"/>
              <w:autoSpaceDN w:val="0"/>
              <w:adjustRightInd w:val="0"/>
              <w:rPr>
                <w:rFonts w:cs="Arial"/>
                <w:color w:val="000000" w:themeColor="text1"/>
                <w:sz w:val="18"/>
                <w:szCs w:val="16"/>
              </w:rPr>
            </w:pPr>
            <w:r w:rsidRPr="00A66395">
              <w:rPr>
                <w:rFonts w:cs="Arial"/>
                <w:color w:val="000000" w:themeColor="text1"/>
                <w:sz w:val="18"/>
                <w:szCs w:val="16"/>
              </w:rPr>
              <w:t>2</w:t>
            </w:r>
            <w:r w:rsidRPr="00A66395">
              <w:rPr>
                <w:rFonts w:cs="Arial"/>
                <w:color w:val="000000" w:themeColor="text1"/>
                <w:sz w:val="18"/>
                <w:szCs w:val="16"/>
                <w:vertAlign w:val="superscript"/>
              </w:rPr>
              <w:t>nd</w:t>
            </w:r>
            <w:r w:rsidRPr="00A66395">
              <w:rPr>
                <w:rFonts w:cs="Arial"/>
                <w:color w:val="000000" w:themeColor="text1"/>
                <w:sz w:val="18"/>
                <w:szCs w:val="16"/>
              </w:rPr>
              <w:t xml:space="preserve"> experiment (24 h exposure) </w:t>
            </w:r>
          </w:p>
          <w:p w14:paraId="249E08F9" w14:textId="77777777" w:rsidR="003E52FA" w:rsidRPr="00A66395" w:rsidRDefault="003E52FA" w:rsidP="00447E4A">
            <w:pPr>
              <w:autoSpaceDE w:val="0"/>
              <w:autoSpaceDN w:val="0"/>
              <w:adjustRightInd w:val="0"/>
              <w:rPr>
                <w:rFonts w:cs="Arial"/>
                <w:color w:val="000000" w:themeColor="text1"/>
                <w:sz w:val="18"/>
                <w:szCs w:val="18"/>
              </w:rPr>
            </w:pPr>
            <w:r w:rsidRPr="00A66395">
              <w:rPr>
                <w:rFonts w:cs="Arial"/>
                <w:color w:val="000000" w:themeColor="text1"/>
                <w:sz w:val="18"/>
                <w:szCs w:val="16"/>
              </w:rPr>
              <w:t>500-5000</w:t>
            </w:r>
            <w:r w:rsidRPr="00A66395">
              <w:rPr>
                <w:rFonts w:cs="Arial"/>
                <w:color w:val="000000" w:themeColor="text1"/>
                <w:sz w:val="16"/>
                <w:szCs w:val="16"/>
              </w:rPr>
              <w:t xml:space="preserve"> </w:t>
            </w:r>
            <w:r w:rsidRPr="00A66395">
              <w:rPr>
                <w:rFonts w:cs="Arial"/>
                <w:color w:val="000000" w:themeColor="text1"/>
                <w:sz w:val="18"/>
                <w:szCs w:val="18"/>
              </w:rPr>
              <w:t xml:space="preserve">µg/ml </w:t>
            </w:r>
            <w:r>
              <w:rPr>
                <w:rFonts w:cs="Arial"/>
                <w:color w:val="000000" w:themeColor="text1"/>
                <w:sz w:val="18"/>
                <w:szCs w:val="16"/>
              </w:rPr>
              <w:t xml:space="preserve">- </w:t>
            </w:r>
            <w:r w:rsidRPr="00A66395">
              <w:rPr>
                <w:rFonts w:cs="Arial"/>
                <w:color w:val="000000" w:themeColor="text1"/>
                <w:sz w:val="18"/>
                <w:szCs w:val="16"/>
              </w:rPr>
              <w:t xml:space="preserve">S9 </w:t>
            </w:r>
          </w:p>
        </w:tc>
        <w:tc>
          <w:tcPr>
            <w:tcW w:w="992" w:type="dxa"/>
            <w:vAlign w:val="center"/>
          </w:tcPr>
          <w:p w14:paraId="5DCAF11A" w14:textId="77777777" w:rsidR="003E52FA" w:rsidRPr="00A66395" w:rsidRDefault="003E52FA" w:rsidP="00447E4A">
            <w:pPr>
              <w:rPr>
                <w:rFonts w:cs="Arial"/>
                <w:color w:val="000000" w:themeColor="text1"/>
                <w:sz w:val="18"/>
                <w:szCs w:val="18"/>
              </w:rPr>
            </w:pPr>
            <w:r w:rsidRPr="00A66395">
              <w:rPr>
                <w:rFonts w:cs="Arial"/>
                <w:color w:val="000000" w:themeColor="text1"/>
                <w:sz w:val="18"/>
                <w:szCs w:val="18"/>
              </w:rPr>
              <w:t xml:space="preserve">Negative </w:t>
            </w:r>
          </w:p>
        </w:tc>
      </w:tr>
    </w:tbl>
    <w:p w14:paraId="41052D42" w14:textId="2D94BE33" w:rsidR="003E52FA" w:rsidRDefault="003E52FA" w:rsidP="00DC5F0E">
      <w:pPr>
        <w:pStyle w:val="TableFootnote"/>
        <w:spacing w:before="40" w:after="0"/>
      </w:pPr>
      <w:r w:rsidRPr="005D6623">
        <w:rPr>
          <w:rFonts w:ascii="Arial" w:hAnsi="Arial"/>
          <w:color w:val="000000" w:themeColor="text1"/>
          <w:sz w:val="18"/>
          <w:szCs w:val="16"/>
        </w:rPr>
        <w:t>#S9 = rat liver preparation treated with Aroclor 1254 to activate enzymes in the liver homogenate.</w:t>
      </w:r>
    </w:p>
    <w:p w14:paraId="0B96FA22" w14:textId="71EA0EB3" w:rsidR="00337FF5" w:rsidRDefault="00337FF5" w:rsidP="00337FF5">
      <w:pPr>
        <w:pStyle w:val="Heading3"/>
      </w:pPr>
      <w:bookmarkStart w:id="34" w:name="_Toc473540368"/>
      <w:r w:rsidRPr="00DD6B6A">
        <w:t>3.4.2</w:t>
      </w:r>
      <w:r w:rsidRPr="00DD6B6A">
        <w:tab/>
      </w:r>
      <w:r w:rsidR="003F3A75">
        <w:t>Sub</w:t>
      </w:r>
      <w:r w:rsidR="00023ED4">
        <w:t>chronic toxicity</w:t>
      </w:r>
      <w:bookmarkEnd w:id="34"/>
    </w:p>
    <w:tbl>
      <w:tblPr>
        <w:tblStyle w:val="TableGrid"/>
        <w:tblW w:w="0" w:type="auto"/>
        <w:tblLook w:val="04A0" w:firstRow="1" w:lastRow="0" w:firstColumn="1" w:lastColumn="0" w:noHBand="0" w:noVBand="1"/>
      </w:tblPr>
      <w:tblGrid>
        <w:gridCol w:w="9286"/>
      </w:tblGrid>
      <w:tr w:rsidR="008D614B" w14:paraId="4E5B2927" w14:textId="77777777" w:rsidTr="008D614B">
        <w:tc>
          <w:tcPr>
            <w:tcW w:w="9286" w:type="dxa"/>
          </w:tcPr>
          <w:p w14:paraId="5C43D564" w14:textId="58CE3047" w:rsidR="00EA2529" w:rsidRPr="00EA2529" w:rsidRDefault="00EA2529" w:rsidP="00EA2529">
            <w:pPr>
              <w:spacing w:before="120" w:after="120"/>
              <w:ind w:left="142" w:right="139"/>
              <w:jc w:val="both"/>
              <w:rPr>
                <w:rFonts w:cs="Arial"/>
                <w:b/>
                <w:sz w:val="20"/>
                <w:szCs w:val="20"/>
              </w:rPr>
            </w:pPr>
            <w:r>
              <w:rPr>
                <w:rFonts w:cs="Arial"/>
                <w:b/>
                <w:sz w:val="20"/>
                <w:szCs w:val="20"/>
              </w:rPr>
              <w:t>Study</w:t>
            </w:r>
            <w:r w:rsidRPr="00EA2529">
              <w:rPr>
                <w:rFonts w:cs="Arial"/>
                <w:b/>
                <w:sz w:val="20"/>
                <w:szCs w:val="20"/>
              </w:rPr>
              <w:t xml:space="preserve"> submitted</w:t>
            </w:r>
          </w:p>
          <w:p w14:paraId="5973E669" w14:textId="158EDD93" w:rsidR="008D614B" w:rsidRPr="008D614B" w:rsidRDefault="008D614B" w:rsidP="00E90471">
            <w:pPr>
              <w:spacing w:before="120" w:after="120"/>
              <w:ind w:left="142" w:right="139"/>
              <w:jc w:val="both"/>
              <w:rPr>
                <w:rFonts w:cs="Arial"/>
                <w:sz w:val="20"/>
                <w:szCs w:val="20"/>
              </w:rPr>
            </w:pPr>
            <w:r>
              <w:rPr>
                <w:rFonts w:cs="Arial"/>
                <w:sz w:val="20"/>
                <w:szCs w:val="20"/>
              </w:rPr>
              <w:t>HLS (2013</w:t>
            </w:r>
            <w:r w:rsidRPr="007901E1">
              <w:rPr>
                <w:rFonts w:cs="Arial"/>
                <w:sz w:val="20"/>
                <w:szCs w:val="20"/>
              </w:rPr>
              <w:t xml:space="preserve">) </w:t>
            </w:r>
            <w:r w:rsidRPr="00210FFF">
              <w:rPr>
                <w:sz w:val="20"/>
              </w:rPr>
              <w:t>Lactase, batch PPL34637: Toxicity study by oral gavage administration to Sprague-Dawley rats for 13 weeks. Report number LKG0074.</w:t>
            </w:r>
            <w:r>
              <w:rPr>
                <w:rFonts w:cs="Arial"/>
                <w:sz w:val="20"/>
                <w:szCs w:val="20"/>
              </w:rPr>
              <w:t xml:space="preserve"> </w:t>
            </w:r>
            <w:r w:rsidRPr="00210FFF">
              <w:rPr>
                <w:sz w:val="20"/>
              </w:rPr>
              <w:t>Huntington Life Sciences</w:t>
            </w:r>
            <w:r w:rsidR="00EA2529">
              <w:rPr>
                <w:rFonts w:cs="Arial"/>
                <w:sz w:val="20"/>
                <w:szCs w:val="20"/>
              </w:rPr>
              <w:t xml:space="preserve"> (unpublished)</w:t>
            </w:r>
            <w:r w:rsidRPr="008D614B">
              <w:rPr>
                <w:rFonts w:cs="Arial"/>
                <w:color w:val="000000" w:themeColor="text1"/>
                <w:sz w:val="20"/>
              </w:rPr>
              <w:t>.</w:t>
            </w:r>
          </w:p>
        </w:tc>
      </w:tr>
    </w:tbl>
    <w:p w14:paraId="075A584A" w14:textId="77777777" w:rsidR="0058504E" w:rsidRDefault="0058504E" w:rsidP="00DC5F0E"/>
    <w:p w14:paraId="2F0208E1" w14:textId="7E67527E" w:rsidR="003858AB" w:rsidRDefault="003858AB" w:rsidP="00DC5F0E">
      <w:r>
        <w:t xml:space="preserve">The toxicity study was performed over </w:t>
      </w:r>
      <w:r w:rsidR="00AD2449">
        <w:t>90</w:t>
      </w:r>
      <w:r>
        <w:t xml:space="preserve"> days on groups of ten male and ten female Crl:CD(SD) rats (</w:t>
      </w:r>
      <w:r w:rsidRPr="00A23AAE">
        <w:t>Charles River UK Ltd, UK</w:t>
      </w:r>
      <w:r>
        <w:t>). At the beginning of the study, the rats were 6-7 weeks old, with weight ranges of 231-292 g for males and 178-222 g for females.</w:t>
      </w:r>
      <w:r w:rsidRPr="003858AB">
        <w:t xml:space="preserve"> </w:t>
      </w:r>
      <w:r w:rsidR="0040710F">
        <w:t>Five a</w:t>
      </w:r>
      <w:r w:rsidRPr="00A23AAE">
        <w:t xml:space="preserve">nimals </w:t>
      </w:r>
      <w:r w:rsidR="0040710F">
        <w:t xml:space="preserve">of the same gender </w:t>
      </w:r>
      <w:r w:rsidRPr="00A23AAE">
        <w:t xml:space="preserve">were housed </w:t>
      </w:r>
      <w:r w:rsidR="0040710F">
        <w:t xml:space="preserve">in each </w:t>
      </w:r>
      <w:r w:rsidRPr="00A23AAE">
        <w:t>cage. Food and water were unrestricted during the treatment.</w:t>
      </w:r>
    </w:p>
    <w:p w14:paraId="030E703C" w14:textId="77777777" w:rsidR="0058504E" w:rsidRDefault="0058504E" w:rsidP="00DC5F0E"/>
    <w:p w14:paraId="60933784" w14:textId="0F0694ED" w:rsidR="0058504E" w:rsidRDefault="003858AB" w:rsidP="00DC5F0E">
      <w:r w:rsidRPr="00A23AAE">
        <w:t xml:space="preserve">A </w:t>
      </w:r>
      <w:r w:rsidR="00114875">
        <w:t xml:space="preserve">total volume </w:t>
      </w:r>
      <w:r w:rsidRPr="00A23AAE">
        <w:t>of 10 ml/kg</w:t>
      </w:r>
      <w:r w:rsidR="00AD2449">
        <w:t xml:space="preserve"> bw</w:t>
      </w:r>
      <w:r w:rsidRPr="00A23AAE">
        <w:t xml:space="preserve"> (</w:t>
      </w:r>
      <w:r w:rsidR="001F275D">
        <w:t xml:space="preserve">Lactase; toxbatch </w:t>
      </w:r>
      <w:r w:rsidR="00AD1873">
        <w:t>PPL34637; activity 6730 LAU</w:t>
      </w:r>
      <w:r w:rsidRPr="00A23AAE">
        <w:t>/g, sourced from the Sponsor)</w:t>
      </w:r>
      <w:r>
        <w:t xml:space="preserve"> </w:t>
      </w:r>
      <w:r w:rsidRPr="00A23AAE">
        <w:t xml:space="preserve">was </w:t>
      </w:r>
      <w:r>
        <w:t>administered daily by gavage. The dose</w:t>
      </w:r>
      <w:r w:rsidR="001F275D">
        <w:t xml:space="preserve"> range administered was</w:t>
      </w:r>
      <w:r>
        <w:t xml:space="preserve"> </w:t>
      </w:r>
      <w:r w:rsidR="00AD1873">
        <w:t>0, 7067, 23319 and 70665 LAU</w:t>
      </w:r>
      <w:r w:rsidRPr="00A23AAE">
        <w:t>/kg</w:t>
      </w:r>
      <w:r w:rsidR="00DD28BB">
        <w:t xml:space="preserve"> bw</w:t>
      </w:r>
      <w:r w:rsidRPr="00A23AAE">
        <w:t>/day</w:t>
      </w:r>
      <w:r w:rsidR="001F275D">
        <w:t xml:space="preserve">. </w:t>
      </w:r>
      <w:r w:rsidR="00815CD6">
        <w:t xml:space="preserve">To achieve this range, </w:t>
      </w:r>
      <w:r w:rsidR="001F275D">
        <w:t>control animals</w:t>
      </w:r>
      <w:r w:rsidR="003E6AB9">
        <w:t xml:space="preserve"> </w:t>
      </w:r>
    </w:p>
    <w:p w14:paraId="0F06F1F5" w14:textId="2161D41B" w:rsidR="00DE23A6" w:rsidRDefault="003E6AB9" w:rsidP="00DC5F0E">
      <w:r>
        <w:t xml:space="preserve">(0 </w:t>
      </w:r>
      <w:r w:rsidR="00AD1873">
        <w:t>LAU</w:t>
      </w:r>
      <w:r>
        <w:t>/kg bw)</w:t>
      </w:r>
      <w:r w:rsidR="001F275D">
        <w:t xml:space="preserve"> received reverse osmosis water</w:t>
      </w:r>
      <w:r w:rsidR="00815CD6">
        <w:t xml:space="preserve"> (vehicle)</w:t>
      </w:r>
      <w:r w:rsidR="003858AB">
        <w:t xml:space="preserve">, </w:t>
      </w:r>
      <w:r w:rsidR="00815CD6">
        <w:t>while the treatment groups received diluted enzyme at 10% (v/v), 33% (v/v) or 100% (undiluted) respectively.</w:t>
      </w:r>
    </w:p>
    <w:p w14:paraId="468A0B88" w14:textId="77777777" w:rsidR="0058504E" w:rsidRDefault="0058504E" w:rsidP="00DC5F0E"/>
    <w:p w14:paraId="53AC023A" w14:textId="610208A1" w:rsidR="00023ED4" w:rsidRDefault="00023ED4" w:rsidP="00DC5F0E">
      <w:pPr>
        <w:rPr>
          <w:rFonts w:cs="Arial"/>
        </w:rPr>
      </w:pPr>
      <w:r w:rsidRPr="00A23AAE">
        <w:rPr>
          <w:rFonts w:cs="Arial"/>
        </w:rPr>
        <w:t xml:space="preserve">Observations for mortality were made twice daily and </w:t>
      </w:r>
      <w:r w:rsidR="00234F97">
        <w:rPr>
          <w:rFonts w:cs="Arial"/>
        </w:rPr>
        <w:t xml:space="preserve">detailed </w:t>
      </w:r>
      <w:r w:rsidRPr="00A23AAE">
        <w:rPr>
          <w:rFonts w:cs="Arial"/>
        </w:rPr>
        <w:t xml:space="preserve">clinical symptoms </w:t>
      </w:r>
      <w:r w:rsidR="00234F97">
        <w:rPr>
          <w:rFonts w:cs="Arial"/>
        </w:rPr>
        <w:t xml:space="preserve">and behaviour </w:t>
      </w:r>
      <w:r w:rsidRPr="00A23AAE">
        <w:rPr>
          <w:rFonts w:cs="Arial"/>
        </w:rPr>
        <w:t xml:space="preserve">were </w:t>
      </w:r>
      <w:r w:rsidR="00234F97">
        <w:rPr>
          <w:rFonts w:cs="Arial"/>
        </w:rPr>
        <w:t>assessed</w:t>
      </w:r>
      <w:r w:rsidRPr="00A23AAE">
        <w:rPr>
          <w:rFonts w:cs="Arial"/>
        </w:rPr>
        <w:t xml:space="preserve"> daily prior to </w:t>
      </w:r>
      <w:r w:rsidR="00A23AAE">
        <w:rPr>
          <w:rFonts w:cs="Arial"/>
        </w:rPr>
        <w:t>drug administration</w:t>
      </w:r>
      <w:r w:rsidRPr="00A23AAE">
        <w:rPr>
          <w:rFonts w:cs="Arial"/>
        </w:rPr>
        <w:t xml:space="preserve">. </w:t>
      </w:r>
      <w:r w:rsidR="00234F97">
        <w:rPr>
          <w:rFonts w:cs="Arial"/>
        </w:rPr>
        <w:t xml:space="preserve">Sensory reactivity, grip strength and motor activity were assessed in Week 12. </w:t>
      </w:r>
      <w:r w:rsidRPr="00A23AAE">
        <w:rPr>
          <w:rFonts w:cs="Arial"/>
        </w:rPr>
        <w:t xml:space="preserve">Bodyweight was recorded one week prior to treatment, the day of commencement of treatment and then weekly thereafter. Food consumption was recorded weekly, starting one week prior to treatment. Water uptake was assessed by visual examination. Blood was collected from the </w:t>
      </w:r>
      <w:r w:rsidR="00A60016" w:rsidRPr="00A23AAE">
        <w:rPr>
          <w:rFonts w:cs="Arial"/>
        </w:rPr>
        <w:t>sublingual</w:t>
      </w:r>
      <w:r w:rsidRPr="00A23AAE">
        <w:rPr>
          <w:rFonts w:cs="Arial"/>
        </w:rPr>
        <w:t xml:space="preserve"> vein while under light general anaesthesia </w:t>
      </w:r>
      <w:r w:rsidRPr="00A23AAE">
        <w:rPr>
          <w:rFonts w:cs="Arial"/>
        </w:rPr>
        <w:lastRenderedPageBreak/>
        <w:t>and after animals had fasted overnight during Week 12</w:t>
      </w:r>
      <w:r w:rsidR="00DE506A">
        <w:rPr>
          <w:rFonts w:cs="Arial"/>
        </w:rPr>
        <w:t xml:space="preserve"> for </w:t>
      </w:r>
      <w:r w:rsidR="0065480D">
        <w:rPr>
          <w:rFonts w:cs="Arial"/>
        </w:rPr>
        <w:t xml:space="preserve">assessment of </w:t>
      </w:r>
      <w:r w:rsidR="005E6C51">
        <w:rPr>
          <w:rFonts w:cs="Arial"/>
        </w:rPr>
        <w:t xml:space="preserve">clinical chemistry parameters (electrolytes, liver and renal function) and haematology parameters (complete blood count, cell morphology and coagulation test) </w:t>
      </w:r>
      <w:r w:rsidRPr="00A23AAE">
        <w:rPr>
          <w:rFonts w:cs="Arial"/>
        </w:rPr>
        <w:t>. Ophthalmological examinations were performed on all animals prior to treatment and then in Week 12, for the control and 100% lactase treated groups only. Necropsy was performed on days 91 – 92, when tissue examination and collection was performed. Necropsy was by carbon dioxide asphyxiation and exsanguination.</w:t>
      </w:r>
    </w:p>
    <w:p w14:paraId="39D94FFF" w14:textId="77777777" w:rsidR="0058504E" w:rsidRDefault="0058504E" w:rsidP="00DC5F0E">
      <w:pPr>
        <w:rPr>
          <w:rFonts w:cs="Arial"/>
        </w:rPr>
      </w:pPr>
    </w:p>
    <w:p w14:paraId="06BB3828" w14:textId="52412977" w:rsidR="00190C63" w:rsidRDefault="00234F97" w:rsidP="00A60016">
      <w:r w:rsidRPr="009606C5">
        <w:t xml:space="preserve">There were </w:t>
      </w:r>
      <w:r w:rsidR="00B35AF5">
        <w:t>no treatment</w:t>
      </w:r>
      <w:r w:rsidR="001F275D">
        <w:t>-</w:t>
      </w:r>
      <w:r w:rsidR="00B35AF5">
        <w:t xml:space="preserve">related </w:t>
      </w:r>
      <w:r w:rsidRPr="009606C5">
        <w:t>deaths</w:t>
      </w:r>
      <w:r w:rsidR="00B35AF5">
        <w:t xml:space="preserve">, </w:t>
      </w:r>
      <w:r w:rsidRPr="009606C5">
        <w:t xml:space="preserve">clinical </w:t>
      </w:r>
      <w:r>
        <w:t>symptoms</w:t>
      </w:r>
      <w:r w:rsidR="00B35AF5">
        <w:t xml:space="preserve"> or </w:t>
      </w:r>
      <w:r w:rsidR="00B35AF5" w:rsidRPr="009606C5">
        <w:t xml:space="preserve">ophthalmic abnormalities </w:t>
      </w:r>
      <w:r w:rsidR="00B35AF5">
        <w:t xml:space="preserve">reported in this study. </w:t>
      </w:r>
      <w:r w:rsidR="00114875">
        <w:t>Female rats in the 33</w:t>
      </w:r>
      <w:r w:rsidR="00916578">
        <w:t>%</w:t>
      </w:r>
      <w:r w:rsidR="00114875">
        <w:t xml:space="preserve"> and 100% groups did show a decreasing trend in </w:t>
      </w:r>
      <w:r w:rsidR="00A07E6D">
        <w:t>hind limb</w:t>
      </w:r>
      <w:r w:rsidR="00114875">
        <w:t xml:space="preserve"> grip strength (motor activity) but the values fell within the range of normal variation seen in the control and 10% dosed animals</w:t>
      </w:r>
      <w:r w:rsidRPr="009606C5">
        <w:t>. Bodyweight gain</w:t>
      </w:r>
      <w:r>
        <w:t>,</w:t>
      </w:r>
      <w:r w:rsidRPr="009606C5">
        <w:t xml:space="preserve"> food consumption </w:t>
      </w:r>
      <w:r>
        <w:t xml:space="preserve">and water uptake </w:t>
      </w:r>
      <w:r w:rsidRPr="009606C5">
        <w:t xml:space="preserve">were comparable across all groups. </w:t>
      </w:r>
      <w:r w:rsidR="00190C63">
        <w:br w:type="page"/>
      </w:r>
    </w:p>
    <w:p w14:paraId="5D7C1183" w14:textId="47E3BC4A" w:rsidR="00234F97" w:rsidRPr="004432D7" w:rsidRDefault="00234F97" w:rsidP="00A60016">
      <w:r w:rsidRPr="009606C5">
        <w:lastRenderedPageBreak/>
        <w:t xml:space="preserve">There was no treatment-related effect on any haematology or clinical chemistry </w:t>
      </w:r>
      <w:r w:rsidRPr="004432D7">
        <w:t>parameter</w:t>
      </w:r>
      <w:r w:rsidR="00DE506A">
        <w:t>s</w:t>
      </w:r>
      <w:r w:rsidRPr="004432D7">
        <w:t xml:space="preserve">. There were no treatment-related macroscopic abnormalities, differences in organ weights or histopathological findings. The NOAEL (No Observed Adverse Effect Level) for both males and females was 0.672 g </w:t>
      </w:r>
      <w:r w:rsidR="003E6AB9" w:rsidRPr="004432D7">
        <w:t>enzyme solid</w:t>
      </w:r>
      <w:r w:rsidRPr="004432D7">
        <w:t>/kg bw/d</w:t>
      </w:r>
      <w:r w:rsidR="00AD1873">
        <w:t xml:space="preserve"> or 70665 LAU</w:t>
      </w:r>
      <w:r w:rsidR="003E6AB9" w:rsidRPr="004432D7">
        <w:t>/kg bw/d</w:t>
      </w:r>
      <w:r w:rsidRPr="004432D7">
        <w:t xml:space="preserve">, </w:t>
      </w:r>
      <w:r w:rsidR="00F0577C" w:rsidRPr="004432D7">
        <w:t xml:space="preserve">which was </w:t>
      </w:r>
      <w:r w:rsidRPr="004432D7">
        <w:t>the highest dose tested.</w:t>
      </w:r>
    </w:p>
    <w:p w14:paraId="5D3B110D" w14:textId="77777777" w:rsidR="00337FF5" w:rsidRPr="004432D7" w:rsidRDefault="00337FF5" w:rsidP="004432D7"/>
    <w:p w14:paraId="5A1586A8" w14:textId="01B43412" w:rsidR="00F0577C" w:rsidRPr="004432D7" w:rsidRDefault="00916578" w:rsidP="004432D7">
      <w:pPr>
        <w:rPr>
          <w:lang w:bidi="ar-SA"/>
        </w:rPr>
      </w:pPr>
      <w:r w:rsidRPr="00AE76DF">
        <w:rPr>
          <w:lang w:bidi="ar-SA"/>
        </w:rPr>
        <w:t>These</w:t>
      </w:r>
      <w:r w:rsidR="003F3A75" w:rsidRPr="00AE76DF">
        <w:rPr>
          <w:lang w:bidi="ar-SA"/>
        </w:rPr>
        <w:t xml:space="preserve"> results </w:t>
      </w:r>
      <w:r w:rsidR="00203EFD" w:rsidRPr="00AE76DF">
        <w:rPr>
          <w:lang w:bidi="ar-SA"/>
        </w:rPr>
        <w:t>are in agreement with</w:t>
      </w:r>
      <w:r w:rsidR="002C1CD2">
        <w:rPr>
          <w:lang w:bidi="ar-SA"/>
        </w:rPr>
        <w:t xml:space="preserve"> </w:t>
      </w:r>
      <w:r w:rsidR="00203EFD" w:rsidRPr="00AE76DF">
        <w:rPr>
          <w:lang w:bidi="ar-SA"/>
        </w:rPr>
        <w:t xml:space="preserve">previous </w:t>
      </w:r>
      <w:r w:rsidRPr="00AE76DF">
        <w:rPr>
          <w:lang w:bidi="ar-SA"/>
        </w:rPr>
        <w:t>stud</w:t>
      </w:r>
      <w:r w:rsidR="002C1CD2">
        <w:rPr>
          <w:lang w:bidi="ar-SA"/>
        </w:rPr>
        <w:t>ies</w:t>
      </w:r>
      <w:r w:rsidRPr="00AE76DF">
        <w:rPr>
          <w:lang w:bidi="ar-SA"/>
        </w:rPr>
        <w:t xml:space="preserve"> examining </w:t>
      </w:r>
      <w:r w:rsidR="00F055CC">
        <w:rPr>
          <w:lang w:bidi="ar-SA"/>
        </w:rPr>
        <w:t xml:space="preserve">animal </w:t>
      </w:r>
      <w:r w:rsidR="002C1CD2">
        <w:rPr>
          <w:lang w:bidi="ar-SA"/>
        </w:rPr>
        <w:t xml:space="preserve">toxicity of </w:t>
      </w:r>
      <w:r w:rsidR="003F3A75" w:rsidRPr="00AE76DF">
        <w:rPr>
          <w:lang w:bidi="ar-SA"/>
        </w:rPr>
        <w:t>commercial enzyme preparation</w:t>
      </w:r>
      <w:r w:rsidR="002C1CD2">
        <w:rPr>
          <w:lang w:bidi="ar-SA"/>
        </w:rPr>
        <w:t>s. In these studies,</w:t>
      </w:r>
      <w:r w:rsidR="003F3A75" w:rsidRPr="00AE76DF">
        <w:rPr>
          <w:lang w:bidi="ar-SA"/>
        </w:rPr>
        <w:t xml:space="preserve"> </w:t>
      </w:r>
      <w:r w:rsidR="002C1CD2">
        <w:rPr>
          <w:lang w:bidi="ar-SA"/>
        </w:rPr>
        <w:t xml:space="preserve">rats were treated with either </w:t>
      </w:r>
      <w:r w:rsidR="003F3A75" w:rsidRPr="00AE76DF">
        <w:rPr>
          <w:lang w:bidi="ar-SA"/>
        </w:rPr>
        <w:t xml:space="preserve">Tilactase </w:t>
      </w:r>
      <w:r w:rsidR="0032227F" w:rsidRPr="00AE76DF">
        <w:rPr>
          <w:lang w:bidi="ar-SA"/>
        </w:rPr>
        <w:t xml:space="preserve">(10,000 ONPG units/g) </w:t>
      </w:r>
      <w:r w:rsidR="003F3A75" w:rsidRPr="00AE76DF">
        <w:rPr>
          <w:lang w:bidi="ar-SA"/>
        </w:rPr>
        <w:t xml:space="preserve">from </w:t>
      </w:r>
      <w:r w:rsidR="003F3A75" w:rsidRPr="00AE76DF">
        <w:rPr>
          <w:i/>
          <w:lang w:bidi="ar-SA"/>
        </w:rPr>
        <w:t>Penicillium multicolor</w:t>
      </w:r>
      <w:r w:rsidR="0032227F" w:rsidRPr="00AE76DF">
        <w:rPr>
          <w:lang w:bidi="ar-SA"/>
        </w:rPr>
        <w:t xml:space="preserve"> </w:t>
      </w:r>
      <w:r w:rsidRPr="00AE76DF">
        <w:rPr>
          <w:lang w:bidi="ar-SA"/>
        </w:rPr>
        <w:t>over</w:t>
      </w:r>
      <w:r w:rsidR="0032227F" w:rsidRPr="00AE76DF">
        <w:rPr>
          <w:lang w:bidi="ar-SA"/>
        </w:rPr>
        <w:t xml:space="preserve"> 35 days</w:t>
      </w:r>
      <w:r w:rsidRPr="00AE76DF">
        <w:rPr>
          <w:lang w:bidi="ar-SA"/>
        </w:rPr>
        <w:t xml:space="preserve"> (Flood and Kondor, 2004)</w:t>
      </w:r>
      <w:r w:rsidR="002C1CD2">
        <w:rPr>
          <w:lang w:bidi="ar-SA"/>
        </w:rPr>
        <w:t xml:space="preserve"> or Neutralact (11,400 neutral lactase units/g) from </w:t>
      </w:r>
      <w:r w:rsidR="00DC5F0E" w:rsidRPr="002C1CD2">
        <w:rPr>
          <w:i/>
          <w:lang w:bidi="ar-SA"/>
        </w:rPr>
        <w:t>K</w:t>
      </w:r>
      <w:r w:rsidR="00DC5F0E">
        <w:rPr>
          <w:i/>
          <w:lang w:bidi="ar-SA"/>
        </w:rPr>
        <w:t>.</w:t>
      </w:r>
      <w:r w:rsidR="00DC5F0E" w:rsidRPr="002C1CD2">
        <w:rPr>
          <w:i/>
          <w:lang w:bidi="ar-SA"/>
        </w:rPr>
        <w:t xml:space="preserve"> </w:t>
      </w:r>
      <w:r w:rsidR="002C1CD2" w:rsidRPr="002C1CD2">
        <w:rPr>
          <w:i/>
          <w:lang w:bidi="ar-SA"/>
        </w:rPr>
        <w:t>lactis</w:t>
      </w:r>
      <w:r w:rsidR="002C1CD2">
        <w:rPr>
          <w:lang w:bidi="ar-SA"/>
        </w:rPr>
        <w:t xml:space="preserve"> over 28 days</w:t>
      </w:r>
      <w:r w:rsidRPr="00AE76DF">
        <w:rPr>
          <w:lang w:bidi="ar-SA"/>
        </w:rPr>
        <w:t>. There were</w:t>
      </w:r>
      <w:r w:rsidR="0032227F" w:rsidRPr="00AE76DF">
        <w:rPr>
          <w:lang w:bidi="ar-SA"/>
        </w:rPr>
        <w:t xml:space="preserve"> no deaths or </w:t>
      </w:r>
      <w:r w:rsidR="002C1CD2">
        <w:rPr>
          <w:lang w:bidi="ar-SA"/>
        </w:rPr>
        <w:t xml:space="preserve">treatment-related </w:t>
      </w:r>
      <w:r w:rsidR="0032227F" w:rsidRPr="00AE76DF">
        <w:rPr>
          <w:lang w:bidi="ar-SA"/>
        </w:rPr>
        <w:t xml:space="preserve">adverse </w:t>
      </w:r>
      <w:r w:rsidR="002C1CD2">
        <w:rPr>
          <w:lang w:bidi="ar-SA"/>
        </w:rPr>
        <w:t>effects</w:t>
      </w:r>
      <w:r w:rsidRPr="00AE76DF">
        <w:rPr>
          <w:lang w:bidi="ar-SA"/>
        </w:rPr>
        <w:t xml:space="preserve"> seen in the animals and t</w:t>
      </w:r>
      <w:r w:rsidR="0032227F" w:rsidRPr="00AE76DF">
        <w:rPr>
          <w:lang w:bidi="ar-SA"/>
        </w:rPr>
        <w:t>he NOAEL</w:t>
      </w:r>
      <w:r w:rsidR="002C1CD2">
        <w:rPr>
          <w:lang w:bidi="ar-SA"/>
        </w:rPr>
        <w:t>S</w:t>
      </w:r>
      <w:r w:rsidR="0032227F" w:rsidRPr="00AE76DF">
        <w:rPr>
          <w:lang w:bidi="ar-SA"/>
        </w:rPr>
        <w:t xml:space="preserve"> reported </w:t>
      </w:r>
      <w:r w:rsidR="0040710F">
        <w:rPr>
          <w:lang w:bidi="ar-SA"/>
        </w:rPr>
        <w:t xml:space="preserve">for the Tilactase and Neutralact preparations </w:t>
      </w:r>
      <w:r w:rsidR="0032227F" w:rsidRPr="00AE76DF">
        <w:rPr>
          <w:lang w:bidi="ar-SA"/>
        </w:rPr>
        <w:t>w</w:t>
      </w:r>
      <w:r w:rsidR="002C1CD2">
        <w:rPr>
          <w:lang w:bidi="ar-SA"/>
        </w:rPr>
        <w:t>ere</w:t>
      </w:r>
      <w:r w:rsidR="0032227F" w:rsidRPr="00AE76DF">
        <w:rPr>
          <w:lang w:bidi="ar-SA"/>
        </w:rPr>
        <w:t xml:space="preserve"> 4 g/kg bw/d</w:t>
      </w:r>
      <w:r w:rsidR="002C1CD2">
        <w:rPr>
          <w:lang w:bidi="ar-SA"/>
        </w:rPr>
        <w:t xml:space="preserve"> and 10 g/kg bw/d respectively</w:t>
      </w:r>
      <w:r w:rsidR="0032227F" w:rsidRPr="00AE76DF">
        <w:rPr>
          <w:lang w:bidi="ar-SA"/>
        </w:rPr>
        <w:t xml:space="preserve">. </w:t>
      </w:r>
      <w:r w:rsidR="00203EFD" w:rsidRPr="00AE76DF">
        <w:rPr>
          <w:lang w:bidi="ar-SA"/>
        </w:rPr>
        <w:t>A more recent study investigating</w:t>
      </w:r>
      <w:r w:rsidR="0032227F" w:rsidRPr="00AE76DF">
        <w:rPr>
          <w:lang w:bidi="ar-SA"/>
        </w:rPr>
        <w:t xml:space="preserve"> a </w:t>
      </w:r>
      <w:r w:rsidR="00AE76DF" w:rsidRPr="00AE76DF">
        <w:rPr>
          <w:lang w:bidi="ar-SA"/>
        </w:rPr>
        <w:t xml:space="preserve">more highly active </w:t>
      </w:r>
      <w:r w:rsidR="0032227F" w:rsidRPr="00AE76DF">
        <w:rPr>
          <w:lang w:bidi="ar-SA"/>
        </w:rPr>
        <w:t xml:space="preserve">recombinant form of </w:t>
      </w:r>
      <w:r w:rsidRPr="00AE76DF">
        <w:rPr>
          <w:lang w:bidi="ar-SA"/>
        </w:rPr>
        <w:t>the</w:t>
      </w:r>
      <w:r>
        <w:rPr>
          <w:lang w:bidi="ar-SA"/>
        </w:rPr>
        <w:t xml:space="preserve"> </w:t>
      </w:r>
      <w:r w:rsidRPr="00916578">
        <w:rPr>
          <w:i/>
          <w:lang w:bidi="ar-SA"/>
        </w:rPr>
        <w:t>Aspergillus oryzae</w:t>
      </w:r>
      <w:r>
        <w:rPr>
          <w:lang w:bidi="ar-SA"/>
        </w:rPr>
        <w:t xml:space="preserve"> lactase gene expressed in </w:t>
      </w:r>
      <w:r w:rsidRPr="00AE76DF">
        <w:rPr>
          <w:i/>
          <w:lang w:bidi="ar-SA"/>
        </w:rPr>
        <w:t>Pichia pastoris</w:t>
      </w:r>
      <w:r>
        <w:rPr>
          <w:lang w:bidi="ar-SA"/>
        </w:rPr>
        <w:t xml:space="preserve"> </w:t>
      </w:r>
      <w:r w:rsidR="00AE76DF">
        <w:rPr>
          <w:lang w:bidi="ar-SA"/>
        </w:rPr>
        <w:t xml:space="preserve">also reported no </w:t>
      </w:r>
      <w:r w:rsidR="00EB1E89">
        <w:rPr>
          <w:lang w:bidi="ar-SA"/>
        </w:rPr>
        <w:t xml:space="preserve">treatment-related </w:t>
      </w:r>
      <w:r w:rsidR="00AE76DF">
        <w:rPr>
          <w:lang w:bidi="ar-SA"/>
        </w:rPr>
        <w:t xml:space="preserve">adverse effects in rats treated for 90 days (Zou et al, 2014). </w:t>
      </w:r>
    </w:p>
    <w:p w14:paraId="6F3E4272" w14:textId="4E52D07F" w:rsidR="00337FF5" w:rsidRPr="00DD6B6A" w:rsidRDefault="00337FF5" w:rsidP="00337FF5">
      <w:pPr>
        <w:pStyle w:val="Heading2"/>
      </w:pPr>
      <w:bookmarkStart w:id="35" w:name="_Toc473540369"/>
      <w:r w:rsidRPr="00DD6B6A">
        <w:t>3.5</w:t>
      </w:r>
      <w:r w:rsidRPr="00DD6B6A">
        <w:tab/>
        <w:t>Risk Assessment Conclusions</w:t>
      </w:r>
      <w:bookmarkEnd w:id="35"/>
    </w:p>
    <w:p w14:paraId="6B1CC1A9" w14:textId="42C86975" w:rsidR="00447E4A" w:rsidRPr="009265D9" w:rsidRDefault="00447E4A" w:rsidP="00A60016">
      <w:r>
        <w:t>T</w:t>
      </w:r>
      <w:r w:rsidRPr="009265D9">
        <w:t xml:space="preserve">here are no public health and safety issues associated with </w:t>
      </w:r>
      <w:r>
        <w:t xml:space="preserve">the use of </w:t>
      </w:r>
      <w:r w:rsidR="002E3DF2">
        <w:t xml:space="preserve">the product Saphera containing the enzyme </w:t>
      </w:r>
      <w:r>
        <w:t xml:space="preserve">lactase from </w:t>
      </w:r>
      <w:r>
        <w:rPr>
          <w:i/>
        </w:rPr>
        <w:t xml:space="preserve">B. </w:t>
      </w:r>
      <w:r w:rsidRPr="00A1396C">
        <w:rPr>
          <w:i/>
        </w:rPr>
        <w:t>licheniformis</w:t>
      </w:r>
      <w:r>
        <w:t xml:space="preserve"> when used </w:t>
      </w:r>
      <w:r w:rsidRPr="009265D9">
        <w:t>as a food processing aid on the basis of the following considerations:</w:t>
      </w:r>
    </w:p>
    <w:p w14:paraId="493E5C37" w14:textId="77777777" w:rsidR="00447E4A" w:rsidRPr="009265D9" w:rsidRDefault="00447E4A" w:rsidP="008D614B">
      <w:pPr>
        <w:rPr>
          <w:rFonts w:cs="Arial"/>
          <w:color w:val="000000" w:themeColor="text1"/>
        </w:rPr>
      </w:pPr>
    </w:p>
    <w:p w14:paraId="78649281" w14:textId="2C7C53C8" w:rsidR="00447E4A" w:rsidRPr="009265D9" w:rsidRDefault="00447E4A" w:rsidP="00DC5F0E">
      <w:pPr>
        <w:pStyle w:val="FSBullet1"/>
      </w:pPr>
      <w:r w:rsidRPr="009265D9">
        <w:t xml:space="preserve">The production organism </w:t>
      </w:r>
      <w:r>
        <w:rPr>
          <w:i/>
        </w:rPr>
        <w:t xml:space="preserve">B. </w:t>
      </w:r>
      <w:r w:rsidRPr="00A1396C">
        <w:rPr>
          <w:i/>
        </w:rPr>
        <w:t>licheniformis</w:t>
      </w:r>
      <w:r w:rsidRPr="009265D9">
        <w:t xml:space="preserve"> is not toxigenic, pathogenic or sporogenic and is absent in the final enzyme preparation proposed to be used as a food processing aid. Further, </w:t>
      </w:r>
      <w:r>
        <w:rPr>
          <w:i/>
        </w:rPr>
        <w:t xml:space="preserve">B. </w:t>
      </w:r>
      <w:r w:rsidRPr="00A1396C">
        <w:rPr>
          <w:i/>
        </w:rPr>
        <w:t>licheniformis</w:t>
      </w:r>
      <w:r>
        <w:t xml:space="preserve"> </w:t>
      </w:r>
      <w:r w:rsidRPr="009265D9">
        <w:t>has a history of safe use as the production organism for a number of enzyme processing aids that are already permitted in the Code.</w:t>
      </w:r>
    </w:p>
    <w:p w14:paraId="4555479D" w14:textId="77777777" w:rsidR="00447E4A" w:rsidRPr="009265D9" w:rsidRDefault="00447E4A" w:rsidP="008D614B">
      <w:pPr>
        <w:pStyle w:val="ListParagraph"/>
        <w:ind w:left="567" w:hanging="567"/>
        <w:rPr>
          <w:rFonts w:cs="Arial"/>
          <w:color w:val="000000" w:themeColor="text1"/>
        </w:rPr>
      </w:pPr>
    </w:p>
    <w:p w14:paraId="73A92953" w14:textId="425D0C7A" w:rsidR="00447E4A" w:rsidRPr="009265D9" w:rsidRDefault="00447E4A" w:rsidP="00A60016">
      <w:pPr>
        <w:pStyle w:val="FSBullet1"/>
        <w:rPr>
          <w:lang w:val="en-AU"/>
        </w:rPr>
      </w:pPr>
      <w:r w:rsidRPr="009265D9">
        <w:rPr>
          <w:lang w:val="en-AU"/>
        </w:rPr>
        <w:t xml:space="preserve">Residual enzyme </w:t>
      </w:r>
      <w:r w:rsidR="00026D72">
        <w:rPr>
          <w:lang w:val="en-AU"/>
        </w:rPr>
        <w:t>is expected to</w:t>
      </w:r>
      <w:r>
        <w:rPr>
          <w:lang w:val="en-AU"/>
        </w:rPr>
        <w:t xml:space="preserve"> be</w:t>
      </w:r>
      <w:r w:rsidRPr="009265D9">
        <w:rPr>
          <w:lang w:val="en-AU"/>
        </w:rPr>
        <w:t xml:space="preserve"> present in the final food </w:t>
      </w:r>
      <w:r>
        <w:rPr>
          <w:lang w:val="en-AU"/>
        </w:rPr>
        <w:t xml:space="preserve">product </w:t>
      </w:r>
      <w:r w:rsidRPr="009265D9">
        <w:rPr>
          <w:lang w:val="en-AU"/>
        </w:rPr>
        <w:t>but would be</w:t>
      </w:r>
      <w:r w:rsidR="00030FD7">
        <w:rPr>
          <w:lang w:val="en-AU"/>
        </w:rPr>
        <w:t xml:space="preserve"> inactivated by heat-treatment or pasteurisation</w:t>
      </w:r>
      <w:r w:rsidR="00DE23A6">
        <w:rPr>
          <w:lang w:val="en-AU"/>
        </w:rPr>
        <w:t>,</w:t>
      </w:r>
      <w:r w:rsidR="00030FD7">
        <w:rPr>
          <w:lang w:val="en-AU"/>
        </w:rPr>
        <w:t xml:space="preserve"> </w:t>
      </w:r>
      <w:r w:rsidR="00DF3B85">
        <w:rPr>
          <w:lang w:val="en-AU"/>
        </w:rPr>
        <w:t xml:space="preserve">or non-active because of </w:t>
      </w:r>
      <w:r w:rsidR="00B040FA">
        <w:rPr>
          <w:lang w:val="en-AU"/>
        </w:rPr>
        <w:t xml:space="preserve">a </w:t>
      </w:r>
      <w:r w:rsidR="00DF3B85">
        <w:rPr>
          <w:lang w:val="en-AU"/>
        </w:rPr>
        <w:t xml:space="preserve">lack of lactose, </w:t>
      </w:r>
      <w:r w:rsidR="00030FD7">
        <w:rPr>
          <w:lang w:val="en-AU"/>
        </w:rPr>
        <w:t>and</w:t>
      </w:r>
      <w:r w:rsidRPr="009265D9">
        <w:rPr>
          <w:lang w:val="en-AU"/>
        </w:rPr>
        <w:t xml:space="preserve"> susceptible to digestion like any other dietary protein.</w:t>
      </w:r>
    </w:p>
    <w:p w14:paraId="3BA34672" w14:textId="77777777" w:rsidR="00447E4A" w:rsidRPr="009265D9" w:rsidRDefault="00447E4A" w:rsidP="008D614B">
      <w:pPr>
        <w:pStyle w:val="ListParagraph"/>
        <w:rPr>
          <w:rFonts w:cs="Arial"/>
          <w:color w:val="000000" w:themeColor="text1"/>
          <w:lang w:val="en-AU"/>
        </w:rPr>
      </w:pPr>
    </w:p>
    <w:p w14:paraId="01D24F78" w14:textId="77777777" w:rsidR="00447E4A" w:rsidRPr="009265D9" w:rsidRDefault="00447E4A" w:rsidP="00DC5F0E">
      <w:pPr>
        <w:pStyle w:val="FSBullet1"/>
        <w:rPr>
          <w:lang w:val="en-AU"/>
        </w:rPr>
      </w:pPr>
      <w:r w:rsidRPr="009265D9">
        <w:rPr>
          <w:lang w:val="en-AU"/>
        </w:rPr>
        <w:lastRenderedPageBreak/>
        <w:t>Bioinformatic analysis indicated that the enzyme has no biologically relevant homology to known protein allergens or toxins.</w:t>
      </w:r>
    </w:p>
    <w:p w14:paraId="7C3F7014" w14:textId="77777777" w:rsidR="00447E4A" w:rsidRPr="009265D9" w:rsidRDefault="00447E4A" w:rsidP="008D614B">
      <w:pPr>
        <w:pStyle w:val="ListParagraph"/>
        <w:rPr>
          <w:rFonts w:cs="Arial"/>
          <w:color w:val="000000" w:themeColor="text1"/>
          <w:lang w:val="en-AU"/>
        </w:rPr>
      </w:pPr>
    </w:p>
    <w:p w14:paraId="28BBA608" w14:textId="7173EBB3" w:rsidR="00447E4A" w:rsidRPr="009265D9" w:rsidRDefault="00447E4A" w:rsidP="00DC5F0E">
      <w:pPr>
        <w:pStyle w:val="FSBullet1"/>
        <w:rPr>
          <w:lang w:val="en-AU"/>
        </w:rPr>
      </w:pPr>
      <w:r w:rsidRPr="009265D9">
        <w:rPr>
          <w:lang w:val="en-AU"/>
        </w:rPr>
        <w:t xml:space="preserve">The enzyme </w:t>
      </w:r>
      <w:r>
        <w:rPr>
          <w:lang w:val="en-AU"/>
        </w:rPr>
        <w:t xml:space="preserve">preparation </w:t>
      </w:r>
      <w:r w:rsidRPr="009265D9">
        <w:rPr>
          <w:lang w:val="en-AU"/>
        </w:rPr>
        <w:t xml:space="preserve">caused no observable effects at the highest tested doses in a 90-day toxicity study in rats. The NOAEL was </w:t>
      </w:r>
      <w:r>
        <w:t>0.672</w:t>
      </w:r>
      <w:r w:rsidRPr="009265D9">
        <w:t xml:space="preserve"> g </w:t>
      </w:r>
      <w:r w:rsidR="003E6AB9">
        <w:t>enzyme solid</w:t>
      </w:r>
      <w:r w:rsidRPr="009265D9">
        <w:t>/kg bw/d</w:t>
      </w:r>
      <w:r w:rsidRPr="009265D9">
        <w:rPr>
          <w:lang w:val="en-AU"/>
        </w:rPr>
        <w:t>, the highest dose tested.</w:t>
      </w:r>
    </w:p>
    <w:p w14:paraId="41DD4790" w14:textId="77777777" w:rsidR="00447E4A" w:rsidRPr="009265D9" w:rsidRDefault="00447E4A" w:rsidP="00447E4A">
      <w:pPr>
        <w:pStyle w:val="ListParagraph"/>
        <w:jc w:val="both"/>
        <w:rPr>
          <w:rFonts w:cs="Arial"/>
          <w:color w:val="000000" w:themeColor="text1"/>
          <w:lang w:val="en-AU"/>
        </w:rPr>
      </w:pPr>
    </w:p>
    <w:p w14:paraId="610F442A" w14:textId="77777777" w:rsidR="00447E4A" w:rsidRPr="009265D9" w:rsidRDefault="00447E4A" w:rsidP="00DC5F0E">
      <w:pPr>
        <w:pStyle w:val="FSBullet1"/>
        <w:rPr>
          <w:lang w:val="en-AU"/>
        </w:rPr>
      </w:pPr>
      <w:r w:rsidRPr="009265D9">
        <w:rPr>
          <w:lang w:val="en-AU"/>
        </w:rPr>
        <w:t xml:space="preserve">The enzyme preparation was not </w:t>
      </w:r>
      <w:r>
        <w:rPr>
          <w:lang w:val="en-AU"/>
        </w:rPr>
        <w:t>mutagenic</w:t>
      </w:r>
      <w:r w:rsidRPr="009265D9">
        <w:rPr>
          <w:lang w:val="en-AU"/>
        </w:rPr>
        <w:t xml:space="preserve"> </w:t>
      </w:r>
      <w:r w:rsidRPr="009265D9">
        <w:rPr>
          <w:i/>
          <w:lang w:val="en-AU"/>
        </w:rPr>
        <w:t>in vitro</w:t>
      </w:r>
      <w:r w:rsidRPr="009265D9">
        <w:rPr>
          <w:lang w:val="en-AU"/>
        </w:rPr>
        <w:t>.</w:t>
      </w:r>
    </w:p>
    <w:p w14:paraId="21B6EBD5" w14:textId="77777777" w:rsidR="00447E4A" w:rsidRPr="009265D9" w:rsidRDefault="00447E4A" w:rsidP="00447E4A">
      <w:pPr>
        <w:jc w:val="both"/>
        <w:rPr>
          <w:rFonts w:cs="Arial"/>
          <w:color w:val="000000" w:themeColor="text1"/>
          <w:lang w:val="en-AU"/>
        </w:rPr>
      </w:pPr>
    </w:p>
    <w:p w14:paraId="6A659A68" w14:textId="77777777" w:rsidR="002E3DF2" w:rsidRPr="008F5E15" w:rsidRDefault="002E3DF2" w:rsidP="002E3DF2">
      <w:pPr>
        <w:widowControl/>
        <w:rPr>
          <w:rFonts w:eastAsia="Calibri"/>
          <w:color w:val="000000" w:themeColor="text1"/>
          <w:szCs w:val="22"/>
          <w:lang w:bidi="ar-SA"/>
        </w:rPr>
      </w:pPr>
      <w:r w:rsidRPr="00962071">
        <w:rPr>
          <w:rFonts w:eastAsia="Calibri"/>
          <w:color w:val="000000" w:themeColor="text1"/>
          <w:szCs w:val="22"/>
          <w:lang w:bidi="ar-SA"/>
        </w:rPr>
        <w:t>Based on the reviewed toxicological data, it is concluded that</w:t>
      </w:r>
      <w:r>
        <w:rPr>
          <w:rFonts w:eastAsia="Calibri"/>
          <w:color w:val="000000" w:themeColor="text1"/>
          <w:szCs w:val="22"/>
          <w:lang w:bidi="ar-SA"/>
        </w:rPr>
        <w:t>,</w:t>
      </w:r>
      <w:r w:rsidRPr="00962071">
        <w:rPr>
          <w:rFonts w:eastAsia="Calibri"/>
          <w:color w:val="000000" w:themeColor="text1"/>
          <w:szCs w:val="22"/>
          <w:lang w:bidi="ar-SA"/>
        </w:rPr>
        <w:t xml:space="preserve"> in the absence of any identifiable hazard, an Acceptable Daily Intake (ADI) ‘not specified’ is appropriate. A dietary exposure assessment is therefore not required.</w:t>
      </w:r>
    </w:p>
    <w:p w14:paraId="2C2FBD7A" w14:textId="36434CB3" w:rsidR="00337FF5" w:rsidRDefault="00337FF5" w:rsidP="00337FF5">
      <w:pPr>
        <w:pStyle w:val="Heading1"/>
      </w:pPr>
      <w:bookmarkStart w:id="36" w:name="_Toc473540370"/>
      <w:r>
        <w:t>References</w:t>
      </w:r>
      <w:bookmarkEnd w:id="36"/>
    </w:p>
    <w:p w14:paraId="160B5B7E" w14:textId="78E29EBE" w:rsidR="008A43E9" w:rsidRDefault="008A43E9" w:rsidP="00086543">
      <w:pPr>
        <w:rPr>
          <w:sz w:val="20"/>
        </w:rPr>
      </w:pPr>
      <w:r>
        <w:rPr>
          <w:sz w:val="20"/>
        </w:rPr>
        <w:t xml:space="preserve">Coenen TMM, </w:t>
      </w:r>
      <w:r w:rsidR="008E0F2C">
        <w:rPr>
          <w:sz w:val="20"/>
        </w:rPr>
        <w:t xml:space="preserve">Bertens AMC, de Hoog SCM, Verspeek-Rip CM (2000) </w:t>
      </w:r>
      <w:r w:rsidR="008E0F2C" w:rsidRPr="008E0F2C">
        <w:rPr>
          <w:sz w:val="20"/>
        </w:rPr>
        <w:t xml:space="preserve">Safety evaluation of a lactase enzyme preparation derived from </w:t>
      </w:r>
      <w:r w:rsidR="008E0F2C" w:rsidRPr="008E0F2C">
        <w:rPr>
          <w:i/>
          <w:sz w:val="20"/>
        </w:rPr>
        <w:t>Kluyveromyces lactis</w:t>
      </w:r>
      <w:r w:rsidR="008E0F2C">
        <w:rPr>
          <w:sz w:val="20"/>
        </w:rPr>
        <w:t xml:space="preserve">. </w:t>
      </w:r>
      <w:r w:rsidR="008E0F2C" w:rsidRPr="008E0F2C">
        <w:rPr>
          <w:i/>
          <w:sz w:val="20"/>
        </w:rPr>
        <w:t>Food Chem Toxicol</w:t>
      </w:r>
      <w:r w:rsidR="008E0F2C" w:rsidRPr="008E0F2C">
        <w:rPr>
          <w:sz w:val="20"/>
        </w:rPr>
        <w:t xml:space="preserve"> 38</w:t>
      </w:r>
      <w:r w:rsidR="008E0F2C">
        <w:rPr>
          <w:sz w:val="20"/>
        </w:rPr>
        <w:t>(8)</w:t>
      </w:r>
      <w:r w:rsidR="008E0F2C" w:rsidRPr="008E0F2C">
        <w:rPr>
          <w:sz w:val="20"/>
        </w:rPr>
        <w:t>: 671–677</w:t>
      </w:r>
      <w:r w:rsidR="008E0F2C">
        <w:rPr>
          <w:sz w:val="20"/>
        </w:rPr>
        <w:t>.</w:t>
      </w:r>
    </w:p>
    <w:p w14:paraId="39B67D56" w14:textId="77777777" w:rsidR="008E0F2C" w:rsidRDefault="008E0F2C" w:rsidP="00086543">
      <w:pPr>
        <w:rPr>
          <w:sz w:val="20"/>
        </w:rPr>
      </w:pPr>
    </w:p>
    <w:p w14:paraId="08F93A8C" w14:textId="77777777" w:rsidR="00447E4A" w:rsidRPr="00210FFF" w:rsidRDefault="00447E4A" w:rsidP="00086543">
      <w:pPr>
        <w:rPr>
          <w:sz w:val="20"/>
        </w:rPr>
      </w:pPr>
      <w:r w:rsidRPr="00210FFF">
        <w:rPr>
          <w:sz w:val="20"/>
        </w:rPr>
        <w:t>DVFA (2015) Lactase enzyme product (approval) File no. 2015-29-7101-00025 &amp; 2015-29-7101-00033. The Danish Veterinary and Food Administration, Ministry of Environment and Food, Denmark.</w:t>
      </w:r>
    </w:p>
    <w:p w14:paraId="5C47CF2B" w14:textId="77777777" w:rsidR="00447E4A" w:rsidRPr="00210FFF" w:rsidRDefault="00447E4A" w:rsidP="00086543">
      <w:pPr>
        <w:rPr>
          <w:sz w:val="20"/>
        </w:rPr>
      </w:pPr>
    </w:p>
    <w:p w14:paraId="49E39B4F" w14:textId="7752E699" w:rsidR="00447E4A" w:rsidRPr="00210FFF" w:rsidRDefault="00447E4A" w:rsidP="00086543">
      <w:pPr>
        <w:rPr>
          <w:sz w:val="20"/>
        </w:rPr>
      </w:pPr>
      <w:r w:rsidRPr="00210FFF">
        <w:rPr>
          <w:sz w:val="20"/>
        </w:rPr>
        <w:t xml:space="preserve">EPA (1997) Final risk assessment of </w:t>
      </w:r>
      <w:r w:rsidRPr="00210FFF">
        <w:rPr>
          <w:i/>
          <w:sz w:val="20"/>
        </w:rPr>
        <w:t>Bacillus licheniformis</w:t>
      </w:r>
      <w:r w:rsidRPr="00210FFF">
        <w:rPr>
          <w:sz w:val="20"/>
        </w:rPr>
        <w:t>, Environmental Protection Agency</w:t>
      </w:r>
      <w:r w:rsidR="003F3A75">
        <w:rPr>
          <w:sz w:val="20"/>
        </w:rPr>
        <w:t>.</w:t>
      </w:r>
    </w:p>
    <w:p w14:paraId="3BC9F4C0" w14:textId="38525CEA" w:rsidR="00190C63" w:rsidRDefault="00190C63" w:rsidP="00086543">
      <w:pPr>
        <w:rPr>
          <w:sz w:val="20"/>
        </w:rPr>
      </w:pPr>
      <w:r>
        <w:rPr>
          <w:sz w:val="20"/>
        </w:rPr>
        <w:br w:type="page"/>
      </w:r>
    </w:p>
    <w:p w14:paraId="4DBF356D" w14:textId="5B955050" w:rsidR="00447E4A" w:rsidRDefault="00447E4A" w:rsidP="00086543">
      <w:pPr>
        <w:rPr>
          <w:sz w:val="20"/>
        </w:rPr>
      </w:pPr>
      <w:r w:rsidRPr="00210FFF">
        <w:rPr>
          <w:sz w:val="20"/>
        </w:rPr>
        <w:lastRenderedPageBreak/>
        <w:t>FDA (2015) Agency response letter GRAS Notice no GRN 000572. United State</w:t>
      </w:r>
      <w:r w:rsidR="006C52DD">
        <w:rPr>
          <w:sz w:val="20"/>
        </w:rPr>
        <w:t xml:space="preserve">s Food and Drug Administration. </w:t>
      </w:r>
      <w:hyperlink r:id="rId28" w:history="1">
        <w:r w:rsidR="006C52DD" w:rsidRPr="008E6DA5">
          <w:rPr>
            <w:rStyle w:val="Hyperlink"/>
            <w:sz w:val="20"/>
          </w:rPr>
          <w:t>http://www.fda.gov/Food/IngredientsPackagingLabeling/GRAS/ NoticeInventory/ ucm462492.htm</w:t>
        </w:r>
      </w:hyperlink>
      <w:r w:rsidRPr="00210FFF">
        <w:rPr>
          <w:sz w:val="20"/>
        </w:rPr>
        <w:t xml:space="preserve"> (accessed 13 October 2016)</w:t>
      </w:r>
    </w:p>
    <w:p w14:paraId="11482972" w14:textId="54082BF7" w:rsidR="004432D7" w:rsidRDefault="004432D7" w:rsidP="00086543">
      <w:pPr>
        <w:rPr>
          <w:sz w:val="20"/>
        </w:rPr>
      </w:pPr>
    </w:p>
    <w:p w14:paraId="28796443" w14:textId="500A8061" w:rsidR="004432D7" w:rsidRDefault="004432D7" w:rsidP="00086543">
      <w:pPr>
        <w:rPr>
          <w:sz w:val="20"/>
        </w:rPr>
      </w:pPr>
      <w:r>
        <w:rPr>
          <w:sz w:val="20"/>
        </w:rPr>
        <w:t xml:space="preserve">Flood MT, Kondo M (2004) </w:t>
      </w:r>
      <w:r w:rsidRPr="004432D7">
        <w:rPr>
          <w:sz w:val="20"/>
        </w:rPr>
        <w:t xml:space="preserve">Toxicity evaluation of a beta-galactosidase preparation produced by </w:t>
      </w:r>
      <w:r w:rsidRPr="003F3A75">
        <w:rPr>
          <w:i/>
          <w:sz w:val="20"/>
        </w:rPr>
        <w:t>Penicillium multicolour</w:t>
      </w:r>
      <w:r>
        <w:rPr>
          <w:sz w:val="20"/>
        </w:rPr>
        <w:t xml:space="preserve">. </w:t>
      </w:r>
      <w:r w:rsidRPr="003F3A75">
        <w:rPr>
          <w:i/>
          <w:sz w:val="20"/>
        </w:rPr>
        <w:t>Regul Toxicol Pharmacol</w:t>
      </w:r>
      <w:r w:rsidR="003F3A75">
        <w:rPr>
          <w:sz w:val="20"/>
        </w:rPr>
        <w:t xml:space="preserve"> 40(3): 281-292.</w:t>
      </w:r>
    </w:p>
    <w:p w14:paraId="776E3FDF" w14:textId="77777777" w:rsidR="00CC4A89" w:rsidRDefault="00CC4A89" w:rsidP="00086543">
      <w:pPr>
        <w:rPr>
          <w:sz w:val="20"/>
        </w:rPr>
      </w:pPr>
    </w:p>
    <w:p w14:paraId="3B7181F8" w14:textId="2E2EA586" w:rsidR="00447E4A" w:rsidRDefault="00CC4A89" w:rsidP="00086543">
      <w:pPr>
        <w:rPr>
          <w:sz w:val="20"/>
        </w:rPr>
      </w:pPr>
      <w:r w:rsidRPr="00CC4A89">
        <w:rPr>
          <w:sz w:val="20"/>
        </w:rPr>
        <w:t>Gopal N, Hill C, Ross PR, Bere</w:t>
      </w:r>
      <w:r>
        <w:rPr>
          <w:sz w:val="20"/>
        </w:rPr>
        <w:t xml:space="preserve">sford TP, Fenelon MA, Cotter PD (2015) </w:t>
      </w:r>
      <w:r w:rsidRPr="00CC4A89">
        <w:rPr>
          <w:sz w:val="20"/>
        </w:rPr>
        <w:t xml:space="preserve">The </w:t>
      </w:r>
      <w:r w:rsidR="00C323E2">
        <w:rPr>
          <w:sz w:val="20"/>
        </w:rPr>
        <w:t>p</w:t>
      </w:r>
      <w:r w:rsidRPr="00CC4A89">
        <w:rPr>
          <w:sz w:val="20"/>
        </w:rPr>
        <w:t xml:space="preserve">revalence and </w:t>
      </w:r>
      <w:r w:rsidR="00C323E2">
        <w:rPr>
          <w:sz w:val="20"/>
        </w:rPr>
        <w:t>c</w:t>
      </w:r>
      <w:r w:rsidRPr="00CC4A89">
        <w:rPr>
          <w:sz w:val="20"/>
        </w:rPr>
        <w:t xml:space="preserve">ontrol of </w:t>
      </w:r>
      <w:r w:rsidRPr="00C323E2">
        <w:rPr>
          <w:i/>
          <w:sz w:val="20"/>
        </w:rPr>
        <w:t>Bacillus</w:t>
      </w:r>
      <w:r w:rsidRPr="00CC4A89">
        <w:rPr>
          <w:sz w:val="20"/>
        </w:rPr>
        <w:t xml:space="preserve"> and </w:t>
      </w:r>
      <w:r w:rsidR="00C323E2">
        <w:rPr>
          <w:sz w:val="20"/>
        </w:rPr>
        <w:t>r</w:t>
      </w:r>
      <w:r w:rsidRPr="00CC4A89">
        <w:rPr>
          <w:sz w:val="20"/>
        </w:rPr>
        <w:t xml:space="preserve">elated </w:t>
      </w:r>
      <w:r w:rsidR="00C323E2">
        <w:rPr>
          <w:sz w:val="20"/>
        </w:rPr>
        <w:t>s</w:t>
      </w:r>
      <w:r w:rsidRPr="00CC4A89">
        <w:rPr>
          <w:sz w:val="20"/>
        </w:rPr>
        <w:t>pore-</w:t>
      </w:r>
      <w:r w:rsidR="00C323E2">
        <w:rPr>
          <w:sz w:val="20"/>
        </w:rPr>
        <w:t>f</w:t>
      </w:r>
      <w:r w:rsidRPr="00CC4A89">
        <w:rPr>
          <w:sz w:val="20"/>
        </w:rPr>
        <w:t xml:space="preserve">orming </w:t>
      </w:r>
      <w:r w:rsidR="00C323E2">
        <w:rPr>
          <w:sz w:val="20"/>
        </w:rPr>
        <w:t>b</w:t>
      </w:r>
      <w:r w:rsidRPr="00CC4A89">
        <w:rPr>
          <w:sz w:val="20"/>
        </w:rPr>
        <w:t xml:space="preserve">acteria in the </w:t>
      </w:r>
      <w:r w:rsidR="00C323E2">
        <w:rPr>
          <w:sz w:val="20"/>
        </w:rPr>
        <w:t>dairy i</w:t>
      </w:r>
      <w:r w:rsidRPr="00CC4A89">
        <w:rPr>
          <w:sz w:val="20"/>
        </w:rPr>
        <w:t>ndustry.</w:t>
      </w:r>
      <w:r>
        <w:rPr>
          <w:sz w:val="20"/>
        </w:rPr>
        <w:t xml:space="preserve"> </w:t>
      </w:r>
      <w:r w:rsidRPr="00C323E2">
        <w:rPr>
          <w:i/>
          <w:sz w:val="20"/>
        </w:rPr>
        <w:t>Front Microbiol</w:t>
      </w:r>
      <w:r w:rsidRPr="00CC4A89">
        <w:rPr>
          <w:sz w:val="20"/>
        </w:rPr>
        <w:t xml:space="preserve"> 6:</w:t>
      </w:r>
      <w:r>
        <w:rPr>
          <w:sz w:val="20"/>
        </w:rPr>
        <w:t xml:space="preserve"> </w:t>
      </w:r>
      <w:r w:rsidRPr="00CC4A89">
        <w:rPr>
          <w:sz w:val="20"/>
        </w:rPr>
        <w:t>1418</w:t>
      </w:r>
      <w:r w:rsidR="00C323E2">
        <w:rPr>
          <w:sz w:val="20"/>
        </w:rPr>
        <w:t>-1435.</w:t>
      </w:r>
      <w:r w:rsidRPr="00CC4A89">
        <w:rPr>
          <w:sz w:val="20"/>
        </w:rPr>
        <w:t>.</w:t>
      </w:r>
    </w:p>
    <w:p w14:paraId="3B5B4095" w14:textId="77777777" w:rsidR="00CC4A89" w:rsidRPr="00210FFF" w:rsidRDefault="00CC4A89" w:rsidP="00086543">
      <w:pPr>
        <w:rPr>
          <w:sz w:val="20"/>
        </w:rPr>
      </w:pPr>
    </w:p>
    <w:p w14:paraId="21D54F3B" w14:textId="77777777" w:rsidR="00447E4A" w:rsidRPr="00210FFF" w:rsidRDefault="00447E4A" w:rsidP="00086543">
      <w:pPr>
        <w:rPr>
          <w:sz w:val="20"/>
        </w:rPr>
      </w:pPr>
    </w:p>
    <w:p w14:paraId="0F4D3D3D" w14:textId="2FEBD9AC" w:rsidR="00447E4A" w:rsidRPr="00210FFF" w:rsidRDefault="00447E4A" w:rsidP="00086543">
      <w:pPr>
        <w:rPr>
          <w:sz w:val="20"/>
        </w:rPr>
      </w:pPr>
      <w:r w:rsidRPr="00210FFF">
        <w:rPr>
          <w:sz w:val="20"/>
        </w:rPr>
        <w:t xml:space="preserve">Haydushka IA, Markova N, Kirina V and Atanassova M (2012) Recurrent </w:t>
      </w:r>
      <w:r w:rsidR="00C323E2">
        <w:rPr>
          <w:sz w:val="20"/>
        </w:rPr>
        <w:t>s</w:t>
      </w:r>
      <w:r w:rsidRPr="00210FFF">
        <w:rPr>
          <w:sz w:val="20"/>
        </w:rPr>
        <w:t xml:space="preserve">epsis </w:t>
      </w:r>
      <w:r w:rsidR="00C323E2">
        <w:rPr>
          <w:sz w:val="20"/>
        </w:rPr>
        <w:t>d</w:t>
      </w:r>
      <w:r w:rsidRPr="00210FFF">
        <w:rPr>
          <w:sz w:val="20"/>
        </w:rPr>
        <w:t xml:space="preserve">ue </w:t>
      </w:r>
      <w:r w:rsidR="00C323E2">
        <w:rPr>
          <w:sz w:val="20"/>
        </w:rPr>
        <w:t>t</w:t>
      </w:r>
      <w:r w:rsidRPr="00210FFF">
        <w:rPr>
          <w:sz w:val="20"/>
        </w:rPr>
        <w:t xml:space="preserve">o </w:t>
      </w:r>
      <w:r w:rsidRPr="00C323E2">
        <w:rPr>
          <w:i/>
          <w:sz w:val="20"/>
        </w:rPr>
        <w:t xml:space="preserve">Bacillus </w:t>
      </w:r>
      <w:r w:rsidR="00C323E2" w:rsidRPr="00C323E2">
        <w:rPr>
          <w:i/>
          <w:sz w:val="20"/>
        </w:rPr>
        <w:t>l</w:t>
      </w:r>
      <w:r w:rsidRPr="00C323E2">
        <w:rPr>
          <w:i/>
          <w:sz w:val="20"/>
        </w:rPr>
        <w:t>icheniformis</w:t>
      </w:r>
      <w:r w:rsidRPr="00210FFF">
        <w:rPr>
          <w:sz w:val="20"/>
        </w:rPr>
        <w:t xml:space="preserve">. </w:t>
      </w:r>
      <w:r w:rsidRPr="00C323E2">
        <w:rPr>
          <w:i/>
          <w:sz w:val="20"/>
        </w:rPr>
        <w:t>J Glob Infect Dis</w:t>
      </w:r>
      <w:r w:rsidRPr="00210FFF">
        <w:rPr>
          <w:sz w:val="20"/>
        </w:rPr>
        <w:t xml:space="preserve"> 4(1): 82–83.</w:t>
      </w:r>
    </w:p>
    <w:p w14:paraId="2133067C" w14:textId="77777777" w:rsidR="00447E4A" w:rsidRPr="00210FFF" w:rsidRDefault="00447E4A" w:rsidP="00086543">
      <w:pPr>
        <w:rPr>
          <w:sz w:val="20"/>
        </w:rPr>
      </w:pPr>
    </w:p>
    <w:p w14:paraId="3D8C74CD" w14:textId="2E801A28" w:rsidR="00447E4A" w:rsidRDefault="00447E4A" w:rsidP="00086543">
      <w:pPr>
        <w:rPr>
          <w:sz w:val="20"/>
        </w:rPr>
      </w:pPr>
      <w:r w:rsidRPr="00210FFF">
        <w:rPr>
          <w:sz w:val="20"/>
        </w:rPr>
        <w:t xml:space="preserve">Horinouchi S, and Weisblum B (1982) Nucleotide sequence and functional map of pE194, a plasmid that specifies inducible resistance to macrolide, lincosamide, and streptogramin type B antibodies. </w:t>
      </w:r>
      <w:r w:rsidRPr="00C323E2">
        <w:rPr>
          <w:i/>
          <w:sz w:val="20"/>
        </w:rPr>
        <w:t>J Bacteriol</w:t>
      </w:r>
      <w:r w:rsidRPr="00210FFF">
        <w:rPr>
          <w:sz w:val="20"/>
        </w:rPr>
        <w:t xml:space="preserve"> 150(2):</w:t>
      </w:r>
      <w:r w:rsidR="00C323E2">
        <w:rPr>
          <w:sz w:val="20"/>
        </w:rPr>
        <w:t xml:space="preserve"> </w:t>
      </w:r>
      <w:r w:rsidRPr="00210FFF">
        <w:rPr>
          <w:sz w:val="20"/>
        </w:rPr>
        <w:t>804-814.</w:t>
      </w:r>
    </w:p>
    <w:p w14:paraId="1B6FE3BA" w14:textId="77777777" w:rsidR="005D4E06" w:rsidRDefault="005D4E06" w:rsidP="00086543">
      <w:pPr>
        <w:rPr>
          <w:sz w:val="20"/>
        </w:rPr>
      </w:pPr>
    </w:p>
    <w:p w14:paraId="33CD2311" w14:textId="4250F719" w:rsidR="006C52DD" w:rsidRDefault="005D4E06" w:rsidP="00086543">
      <w:pPr>
        <w:rPr>
          <w:sz w:val="20"/>
        </w:rPr>
      </w:pPr>
      <w:r w:rsidRPr="005D4E06">
        <w:rPr>
          <w:sz w:val="20"/>
        </w:rPr>
        <w:t xml:space="preserve">Larkin MA1, Blackshields G, Brown NP, Chenna R, McGettigan PA, McWilliam H, Valentin F, Wallace IM, Wilm A, </w:t>
      </w:r>
      <w:r>
        <w:rPr>
          <w:sz w:val="20"/>
        </w:rPr>
        <w:t xml:space="preserve">Lopez R, Thompson JD, Gibson TJ and Higgins DG (2007) </w:t>
      </w:r>
      <w:r w:rsidRPr="005D4E06">
        <w:rPr>
          <w:sz w:val="20"/>
        </w:rPr>
        <w:t>Clustal W and Clustal X version 2.0</w:t>
      </w:r>
      <w:r>
        <w:rPr>
          <w:sz w:val="20"/>
        </w:rPr>
        <w:t xml:space="preserve">. </w:t>
      </w:r>
      <w:r w:rsidRPr="005D4E06">
        <w:rPr>
          <w:i/>
          <w:sz w:val="20"/>
        </w:rPr>
        <w:t>Bioinformatics</w:t>
      </w:r>
      <w:r w:rsidRPr="005D4E06">
        <w:rPr>
          <w:sz w:val="20"/>
        </w:rPr>
        <w:t xml:space="preserve"> 23(21):</w:t>
      </w:r>
      <w:r>
        <w:rPr>
          <w:sz w:val="20"/>
        </w:rPr>
        <w:t xml:space="preserve"> </w:t>
      </w:r>
      <w:r w:rsidRPr="005D4E06">
        <w:rPr>
          <w:sz w:val="20"/>
        </w:rPr>
        <w:t>2947-</w:t>
      </w:r>
      <w:r>
        <w:rPr>
          <w:sz w:val="20"/>
        </w:rPr>
        <w:t>294</w:t>
      </w:r>
      <w:r w:rsidRPr="005D4E06">
        <w:rPr>
          <w:sz w:val="20"/>
        </w:rPr>
        <w:t>8</w:t>
      </w:r>
    </w:p>
    <w:p w14:paraId="6A4198BF" w14:textId="77777777" w:rsidR="005D4E06" w:rsidRDefault="005D4E06" w:rsidP="00086543">
      <w:pPr>
        <w:rPr>
          <w:sz w:val="20"/>
        </w:rPr>
      </w:pPr>
    </w:p>
    <w:p w14:paraId="75106052" w14:textId="590E4C64" w:rsidR="006C52DD" w:rsidRPr="00210FFF" w:rsidRDefault="006C52DD" w:rsidP="00086543">
      <w:pPr>
        <w:rPr>
          <w:sz w:val="20"/>
        </w:rPr>
      </w:pPr>
      <w:r>
        <w:rPr>
          <w:sz w:val="20"/>
        </w:rPr>
        <w:t xml:space="preserve">Logan NA (2012) </w:t>
      </w:r>
      <w:r w:rsidRPr="006C52DD">
        <w:rPr>
          <w:sz w:val="20"/>
        </w:rPr>
        <w:t>Bacillus and relatives in foodborne illness</w:t>
      </w:r>
      <w:r>
        <w:rPr>
          <w:sz w:val="20"/>
        </w:rPr>
        <w:t xml:space="preserve">. </w:t>
      </w:r>
      <w:r w:rsidRPr="00C323E2">
        <w:rPr>
          <w:i/>
          <w:sz w:val="20"/>
        </w:rPr>
        <w:t>J Appl Microbiol</w:t>
      </w:r>
      <w:r w:rsidRPr="006C52DD">
        <w:rPr>
          <w:sz w:val="20"/>
        </w:rPr>
        <w:t xml:space="preserve"> 112(3):</w:t>
      </w:r>
      <w:r>
        <w:rPr>
          <w:sz w:val="20"/>
        </w:rPr>
        <w:t xml:space="preserve"> </w:t>
      </w:r>
      <w:r w:rsidRPr="006C52DD">
        <w:rPr>
          <w:sz w:val="20"/>
        </w:rPr>
        <w:t>417-29.</w:t>
      </w:r>
      <w:r>
        <w:rPr>
          <w:sz w:val="20"/>
        </w:rPr>
        <w:t xml:space="preserve"> </w:t>
      </w:r>
    </w:p>
    <w:p w14:paraId="5069A753" w14:textId="77777777" w:rsidR="00447E4A" w:rsidRPr="00210FFF" w:rsidRDefault="00447E4A" w:rsidP="00086543">
      <w:pPr>
        <w:rPr>
          <w:sz w:val="20"/>
        </w:rPr>
      </w:pPr>
    </w:p>
    <w:p w14:paraId="6EFDA29C" w14:textId="77777777" w:rsidR="00447E4A" w:rsidRPr="00210FFF" w:rsidRDefault="00447E4A" w:rsidP="00086543">
      <w:pPr>
        <w:rPr>
          <w:sz w:val="20"/>
        </w:rPr>
      </w:pPr>
      <w:r w:rsidRPr="00210FFF">
        <w:rPr>
          <w:sz w:val="20"/>
        </w:rPr>
        <w:t xml:space="preserve">Needleman SB and Wunsch CD (1970) A general method applicable to the search for similarities in the amino acid sequence of two proteins. </w:t>
      </w:r>
      <w:r w:rsidRPr="00C323E2">
        <w:rPr>
          <w:i/>
          <w:sz w:val="20"/>
        </w:rPr>
        <w:t>J Mol Biol</w:t>
      </w:r>
      <w:r w:rsidRPr="00210FFF">
        <w:rPr>
          <w:sz w:val="20"/>
        </w:rPr>
        <w:t xml:space="preserve"> 48(3): 443-453.</w:t>
      </w:r>
    </w:p>
    <w:p w14:paraId="1354229A" w14:textId="77777777" w:rsidR="00447E4A" w:rsidRPr="00210FFF" w:rsidRDefault="00447E4A" w:rsidP="00086543">
      <w:pPr>
        <w:rPr>
          <w:sz w:val="20"/>
        </w:rPr>
      </w:pPr>
    </w:p>
    <w:p w14:paraId="4D224A2B" w14:textId="729A3462" w:rsidR="00447E4A" w:rsidRPr="00210FFF" w:rsidRDefault="00447E4A" w:rsidP="00086543">
      <w:pPr>
        <w:rPr>
          <w:sz w:val="20"/>
        </w:rPr>
      </w:pPr>
      <w:r w:rsidRPr="00210FFF">
        <w:rPr>
          <w:sz w:val="20"/>
        </w:rPr>
        <w:t xml:space="preserve">NIH (2016) </w:t>
      </w:r>
      <w:r w:rsidRPr="00210FFF">
        <w:rPr>
          <w:i/>
          <w:sz w:val="20"/>
        </w:rPr>
        <w:t>Classification of human etiologic agents on the basis of hazard</w:t>
      </w:r>
      <w:r w:rsidRPr="00210FFF">
        <w:rPr>
          <w:sz w:val="20"/>
        </w:rPr>
        <w:t xml:space="preserve">, NIH guidelines for research involving recombinant or synthetic nucleic acid molecules, Office of Science Policy, National Institutes of Health, Bethesda, MD. </w:t>
      </w:r>
      <w:hyperlink r:id="rId29" w:anchor="_ Toc446948380" w:history="1">
        <w:r w:rsidR="006C52DD" w:rsidRPr="008E6DA5">
          <w:rPr>
            <w:rStyle w:val="Hyperlink"/>
            <w:sz w:val="20"/>
          </w:rPr>
          <w:t>http://osp.od.nih.gov/sites/default/files/NIH_Guidelines.html#_ Toc446948380</w:t>
        </w:r>
      </w:hyperlink>
      <w:r w:rsidRPr="00210FFF">
        <w:rPr>
          <w:sz w:val="20"/>
        </w:rPr>
        <w:t xml:space="preserve"> (accessed 13 October 2016) </w:t>
      </w:r>
    </w:p>
    <w:p w14:paraId="4E66A79B" w14:textId="77777777" w:rsidR="00447E4A" w:rsidRPr="00210FFF" w:rsidRDefault="00447E4A" w:rsidP="00086543">
      <w:pPr>
        <w:rPr>
          <w:sz w:val="20"/>
        </w:rPr>
      </w:pPr>
    </w:p>
    <w:p w14:paraId="1F09EA6A" w14:textId="7F88B35F" w:rsidR="00086543" w:rsidRPr="00210FFF" w:rsidRDefault="00D476C2" w:rsidP="00086543">
      <w:pPr>
        <w:rPr>
          <w:sz w:val="20"/>
          <w:lang w:val="en"/>
        </w:rPr>
      </w:pPr>
      <w:r w:rsidRPr="00210FFF">
        <w:rPr>
          <w:sz w:val="20"/>
          <w:lang w:val="en"/>
        </w:rPr>
        <w:t>OECD (1997), </w:t>
      </w:r>
      <w:r w:rsidRPr="00210FFF">
        <w:rPr>
          <w:rStyle w:val="Emphasis"/>
          <w:sz w:val="20"/>
          <w:lang w:val="en"/>
        </w:rPr>
        <w:t>Test No. 471: Bacterial Reverse Mutation Test</w:t>
      </w:r>
      <w:r w:rsidRPr="00210FFF">
        <w:rPr>
          <w:sz w:val="20"/>
          <w:lang w:val="en"/>
        </w:rPr>
        <w:t>, OECD Publishing, Paris.</w:t>
      </w:r>
      <w:r w:rsidRPr="00210FFF">
        <w:rPr>
          <w:sz w:val="20"/>
          <w:lang w:val="en"/>
        </w:rPr>
        <w:br/>
        <w:t xml:space="preserve">DOI: </w:t>
      </w:r>
      <w:hyperlink r:id="rId30" w:tgtFrame="_blank" w:tooltip="http://dx.doi.org/10.1787/9789264071247-en" w:history="1">
        <w:r w:rsidRPr="00210FFF">
          <w:rPr>
            <w:rStyle w:val="Hyperlink"/>
            <w:sz w:val="20"/>
            <w:lang w:val="en"/>
          </w:rPr>
          <w:t>http://dx.doi.org/10.1787/9789264071247-en</w:t>
        </w:r>
      </w:hyperlink>
    </w:p>
    <w:p w14:paraId="3E4BDDCC" w14:textId="77777777" w:rsidR="00D476C2" w:rsidRPr="00210FFF" w:rsidRDefault="00D476C2" w:rsidP="00086543">
      <w:pPr>
        <w:rPr>
          <w:sz w:val="20"/>
        </w:rPr>
      </w:pPr>
    </w:p>
    <w:p w14:paraId="2FA80D87" w14:textId="49A17679" w:rsidR="00461985" w:rsidRPr="00210FFF" w:rsidRDefault="00D476C2" w:rsidP="00D476C2">
      <w:pPr>
        <w:rPr>
          <w:sz w:val="20"/>
        </w:rPr>
      </w:pPr>
      <w:r w:rsidRPr="00210FFF">
        <w:rPr>
          <w:sz w:val="20"/>
        </w:rPr>
        <w:lastRenderedPageBreak/>
        <w:t xml:space="preserve">OECD (1998) </w:t>
      </w:r>
      <w:r w:rsidRPr="00210FFF">
        <w:rPr>
          <w:i/>
          <w:sz w:val="20"/>
        </w:rPr>
        <w:t>Test No. 408: Repeated Dose 90-Day Oral Toxicity Study in Rodents</w:t>
      </w:r>
      <w:r w:rsidRPr="00210FFF">
        <w:rPr>
          <w:sz w:val="20"/>
        </w:rPr>
        <w:t xml:space="preserve">, OECD Publishing, Paris. DOI: </w:t>
      </w:r>
      <w:hyperlink r:id="rId31" w:history="1">
        <w:r w:rsidRPr="00210FFF">
          <w:rPr>
            <w:rStyle w:val="Hyperlink"/>
            <w:sz w:val="20"/>
          </w:rPr>
          <w:t>http://dx.doi.org/10.1787/9789264070707-en</w:t>
        </w:r>
      </w:hyperlink>
    </w:p>
    <w:p w14:paraId="6CC31855" w14:textId="77777777" w:rsidR="00D476C2" w:rsidRPr="00210FFF" w:rsidRDefault="00D476C2" w:rsidP="00D476C2">
      <w:pPr>
        <w:rPr>
          <w:sz w:val="20"/>
        </w:rPr>
      </w:pPr>
    </w:p>
    <w:p w14:paraId="01D58EF6" w14:textId="383B02EB" w:rsidR="00086543" w:rsidRPr="00210FFF" w:rsidRDefault="00461985" w:rsidP="00086543">
      <w:pPr>
        <w:rPr>
          <w:sz w:val="20"/>
        </w:rPr>
      </w:pPr>
      <w:r w:rsidRPr="00210FFF">
        <w:rPr>
          <w:sz w:val="20"/>
          <w:lang w:val="en"/>
        </w:rPr>
        <w:t>OECD (2010), </w:t>
      </w:r>
      <w:r w:rsidRPr="00210FFF">
        <w:rPr>
          <w:rStyle w:val="Emphasis"/>
          <w:sz w:val="20"/>
          <w:lang w:val="en"/>
        </w:rPr>
        <w:t>Test No. 487: In Vitro Mammalian Cell Micronucleus Test</w:t>
      </w:r>
      <w:r w:rsidRPr="00210FFF">
        <w:rPr>
          <w:sz w:val="20"/>
          <w:lang w:val="en"/>
        </w:rPr>
        <w:t xml:space="preserve">, OECD Publishing, Paris. DOI: </w:t>
      </w:r>
      <w:hyperlink r:id="rId32" w:tgtFrame="_blank" w:tooltip="http://dx.doi.org/10.1787/9789264091016-en" w:history="1">
        <w:r w:rsidRPr="00210FFF">
          <w:rPr>
            <w:rStyle w:val="Hyperlink"/>
            <w:sz w:val="20"/>
            <w:lang w:val="en"/>
          </w:rPr>
          <w:t>http://dx.doi.org/10.1787/9789264091016-en</w:t>
        </w:r>
      </w:hyperlink>
    </w:p>
    <w:p w14:paraId="4AEBCEA8" w14:textId="77777777" w:rsidR="00461985" w:rsidRPr="00210FFF" w:rsidRDefault="00461985" w:rsidP="00086543">
      <w:pPr>
        <w:rPr>
          <w:sz w:val="20"/>
        </w:rPr>
      </w:pPr>
    </w:p>
    <w:p w14:paraId="6709FFEE" w14:textId="15B4BB73" w:rsidR="00447E4A" w:rsidRDefault="00447E4A" w:rsidP="00086543">
      <w:pPr>
        <w:rPr>
          <w:sz w:val="20"/>
        </w:rPr>
      </w:pPr>
      <w:r w:rsidRPr="00210FFF">
        <w:rPr>
          <w:sz w:val="20"/>
        </w:rPr>
        <w:t xml:space="preserve">Pearson WR and Lipman DJ (1988) Improved tools for biological sequence comparison. </w:t>
      </w:r>
      <w:r w:rsidRPr="00C323E2">
        <w:rPr>
          <w:i/>
          <w:sz w:val="20"/>
        </w:rPr>
        <w:t>Proc Natl Acad Sci USA</w:t>
      </w:r>
      <w:r w:rsidRPr="00210FFF">
        <w:rPr>
          <w:sz w:val="20"/>
        </w:rPr>
        <w:t xml:space="preserve"> 85(8):</w:t>
      </w:r>
      <w:r w:rsidR="008C7A14">
        <w:rPr>
          <w:sz w:val="20"/>
        </w:rPr>
        <w:t xml:space="preserve"> </w:t>
      </w:r>
      <w:r w:rsidRPr="00210FFF">
        <w:rPr>
          <w:sz w:val="20"/>
        </w:rPr>
        <w:t>2444-2448.</w:t>
      </w:r>
    </w:p>
    <w:p w14:paraId="14536E37" w14:textId="33F9B925" w:rsidR="008C7A14" w:rsidRDefault="008C7A14" w:rsidP="00086543">
      <w:pPr>
        <w:rPr>
          <w:sz w:val="20"/>
        </w:rPr>
      </w:pPr>
    </w:p>
    <w:p w14:paraId="41DC1AB7" w14:textId="5187E658" w:rsidR="008C7A14" w:rsidRDefault="008C7A14" w:rsidP="00086543">
      <w:pPr>
        <w:rPr>
          <w:sz w:val="20"/>
        </w:rPr>
      </w:pPr>
      <w:r>
        <w:rPr>
          <w:sz w:val="20"/>
        </w:rPr>
        <w:t>Pedersen PB, Bj</w:t>
      </w:r>
      <w:r>
        <w:rPr>
          <w:rFonts w:cs="Arial"/>
          <w:sz w:val="20"/>
        </w:rPr>
        <w:t>ø</w:t>
      </w:r>
      <w:r>
        <w:rPr>
          <w:sz w:val="20"/>
        </w:rPr>
        <w:t>rnvad ME, Rasmussen MD</w:t>
      </w:r>
      <w:r w:rsidR="00CC4A89">
        <w:rPr>
          <w:sz w:val="20"/>
        </w:rPr>
        <w:t xml:space="preserve"> and</w:t>
      </w:r>
      <w:r>
        <w:rPr>
          <w:sz w:val="20"/>
        </w:rPr>
        <w:t xml:space="preserve"> Petersen JN (2002) </w:t>
      </w:r>
      <w:r w:rsidRPr="008C7A14">
        <w:rPr>
          <w:sz w:val="20"/>
        </w:rPr>
        <w:t>Cytotoxic potential of industrial strains of Bacillus sp.</w:t>
      </w:r>
      <w:r>
        <w:rPr>
          <w:sz w:val="20"/>
        </w:rPr>
        <w:t xml:space="preserve"> </w:t>
      </w:r>
      <w:r w:rsidRPr="00C323E2">
        <w:rPr>
          <w:i/>
          <w:sz w:val="20"/>
        </w:rPr>
        <w:t>Regul Toxicol Pharmacol</w:t>
      </w:r>
      <w:r w:rsidRPr="008C7A14">
        <w:rPr>
          <w:sz w:val="20"/>
        </w:rPr>
        <w:t xml:space="preserve"> 36(2):</w:t>
      </w:r>
      <w:r>
        <w:rPr>
          <w:sz w:val="20"/>
        </w:rPr>
        <w:t xml:space="preserve"> </w:t>
      </w:r>
      <w:r w:rsidRPr="008C7A14">
        <w:rPr>
          <w:sz w:val="20"/>
        </w:rPr>
        <w:t>155-</w:t>
      </w:r>
      <w:r>
        <w:rPr>
          <w:sz w:val="20"/>
        </w:rPr>
        <w:t>1</w:t>
      </w:r>
      <w:r w:rsidRPr="008C7A14">
        <w:rPr>
          <w:sz w:val="20"/>
        </w:rPr>
        <w:t>61.</w:t>
      </w:r>
    </w:p>
    <w:p w14:paraId="05AC42E1" w14:textId="68A75B81" w:rsidR="00447E4A" w:rsidRPr="00210FFF" w:rsidRDefault="00447E4A" w:rsidP="00086543">
      <w:pPr>
        <w:rPr>
          <w:sz w:val="20"/>
        </w:rPr>
      </w:pPr>
    </w:p>
    <w:p w14:paraId="74A2B179" w14:textId="3FFD1511" w:rsidR="00337FF5" w:rsidRDefault="00210FFF" w:rsidP="00337FF5">
      <w:pPr>
        <w:rPr>
          <w:sz w:val="20"/>
        </w:rPr>
      </w:pPr>
      <w:r>
        <w:rPr>
          <w:sz w:val="20"/>
        </w:rPr>
        <w:t>USP</w:t>
      </w:r>
      <w:r w:rsidR="00DF4A2F">
        <w:rPr>
          <w:sz w:val="20"/>
        </w:rPr>
        <w:t xml:space="preserve"> (</w:t>
      </w:r>
      <w:r w:rsidR="00713B41">
        <w:rPr>
          <w:sz w:val="20"/>
        </w:rPr>
        <w:t>2014) Food chemicals codex (9</w:t>
      </w:r>
      <w:r w:rsidR="00713B41" w:rsidRPr="00713B41">
        <w:rPr>
          <w:sz w:val="20"/>
          <w:vertAlign w:val="superscript"/>
        </w:rPr>
        <w:t>th</w:t>
      </w:r>
      <w:r w:rsidR="00713B41">
        <w:rPr>
          <w:sz w:val="20"/>
        </w:rPr>
        <w:t xml:space="preserve"> edition) The United States Pharmacopeial Convention, MD, USA.</w:t>
      </w:r>
    </w:p>
    <w:p w14:paraId="3DEBDFC8" w14:textId="3F20B9CA" w:rsidR="003F3A75" w:rsidRDefault="003F3A75" w:rsidP="00337FF5">
      <w:pPr>
        <w:rPr>
          <w:sz w:val="20"/>
        </w:rPr>
      </w:pPr>
    </w:p>
    <w:p w14:paraId="5D8E8211" w14:textId="002380D5" w:rsidR="003F3A75" w:rsidRPr="009476BF" w:rsidRDefault="003F3A75" w:rsidP="00337FF5">
      <w:pPr>
        <w:rPr>
          <w:sz w:val="20"/>
        </w:rPr>
      </w:pPr>
      <w:r w:rsidRPr="003F3A75">
        <w:rPr>
          <w:sz w:val="20"/>
        </w:rPr>
        <w:t>Zou S, He X, Liu Y, Chen D, Luo Y,</w:t>
      </w:r>
      <w:r>
        <w:rPr>
          <w:sz w:val="20"/>
        </w:rPr>
        <w:t xml:space="preserve"> Huang K, Zhang W, Xu W (2014) </w:t>
      </w:r>
      <w:r w:rsidRPr="003F3A75">
        <w:rPr>
          <w:sz w:val="20"/>
        </w:rPr>
        <w:t xml:space="preserve">Toxicological evaluation of lactase derived from recombinant </w:t>
      </w:r>
      <w:r w:rsidRPr="003F3A75">
        <w:rPr>
          <w:i/>
          <w:sz w:val="20"/>
        </w:rPr>
        <w:t>Pichia pastoris</w:t>
      </w:r>
      <w:r w:rsidRPr="003F3A75">
        <w:rPr>
          <w:sz w:val="20"/>
        </w:rPr>
        <w:t>.</w:t>
      </w:r>
      <w:r>
        <w:rPr>
          <w:sz w:val="20"/>
        </w:rPr>
        <w:t xml:space="preserve"> </w:t>
      </w:r>
      <w:r w:rsidRPr="003F3A75">
        <w:rPr>
          <w:i/>
          <w:sz w:val="20"/>
        </w:rPr>
        <w:t>PLoS One</w:t>
      </w:r>
      <w:r>
        <w:rPr>
          <w:sz w:val="20"/>
        </w:rPr>
        <w:t xml:space="preserve"> 9(9): e106470.</w:t>
      </w:r>
    </w:p>
    <w:sectPr w:rsidR="003F3A75" w:rsidRPr="009476BF"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C795" w14:textId="77777777" w:rsidR="00EE3ACB" w:rsidRDefault="00EE3ACB">
      <w:r>
        <w:separator/>
      </w:r>
    </w:p>
  </w:endnote>
  <w:endnote w:type="continuationSeparator" w:id="0">
    <w:p w14:paraId="07B6BA3D" w14:textId="77777777" w:rsidR="00EE3ACB" w:rsidRDefault="00EE3ACB">
      <w:r>
        <w:continuationSeparator/>
      </w:r>
    </w:p>
  </w:endnote>
  <w:endnote w:type="continuationNotice" w:id="1">
    <w:p w14:paraId="6B35CA7B" w14:textId="77777777" w:rsidR="00EE3ACB" w:rsidRDefault="00EE3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27E0" w14:textId="77777777" w:rsidR="000340F8" w:rsidRPr="000340F8" w:rsidRDefault="000340F8" w:rsidP="000340F8">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3B57D39B" w14:textId="2A34A8B9" w:rsidR="00EE3ACB" w:rsidRDefault="000340F8" w:rsidP="000340F8">
    <w:pPr>
      <w:pStyle w:val="Footer"/>
      <w:framePr w:wrap="around" w:vAnchor="text" w:hAnchor="margin" w:xAlign="center" w:y="1"/>
      <w:jc w:val="center"/>
      <w:rPr>
        <w:rStyle w:val="PageNumber"/>
      </w:rPr>
    </w:pPr>
    <w:r w:rsidRPr="000340F8">
      <w:rPr>
        <w:rStyle w:val="PageNumber"/>
        <w:rFonts w:ascii="Calibri" w:hAnsi="Calibri" w:cs="Calibri"/>
        <w:b/>
        <w:color w:val="F00000"/>
        <w:sz w:val="24"/>
      </w:rPr>
      <w:t>OFFICIAL</w:t>
    </w:r>
    <w:r>
      <w:rPr>
        <w:rStyle w:val="PageNumber"/>
      </w:rPr>
      <w:t xml:space="preserve"> </w:t>
    </w:r>
    <w:r>
      <w:rPr>
        <w:rStyle w:val="PageNumber"/>
      </w:rPr>
      <w:fldChar w:fldCharType="end"/>
    </w:r>
    <w:r w:rsidR="00EE3ACB">
      <w:rPr>
        <w:rStyle w:val="PageNumber"/>
      </w:rPr>
      <w:fldChar w:fldCharType="begin"/>
    </w:r>
    <w:r w:rsidR="00EE3ACB">
      <w:rPr>
        <w:rStyle w:val="PageNumber"/>
      </w:rPr>
      <w:instrText xml:space="preserve">PAGE  </w:instrText>
    </w:r>
    <w:r w:rsidR="00EE3ACB">
      <w:rPr>
        <w:rStyle w:val="PageNumber"/>
      </w:rPr>
      <w:fldChar w:fldCharType="end"/>
    </w:r>
  </w:p>
  <w:p w14:paraId="335DA9B1" w14:textId="77777777" w:rsidR="00EE3ACB" w:rsidRDefault="00EE3ACB" w:rsidP="00034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1CB3" w14:textId="77777777" w:rsidR="000340F8" w:rsidRPr="000340F8" w:rsidRDefault="000340F8" w:rsidP="000340F8">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4EF10CDA" w14:textId="4639BECB" w:rsidR="000340F8" w:rsidRDefault="000340F8" w:rsidP="000340F8">
    <w:pPr>
      <w:pStyle w:val="Footer"/>
      <w:framePr w:wrap="around" w:vAnchor="text" w:hAnchor="margin" w:xAlign="center" w:y="1"/>
      <w:jc w:val="center"/>
      <w:rPr>
        <w:rStyle w:val="PageNumber"/>
      </w:rPr>
    </w:pPr>
    <w:r w:rsidRPr="000340F8">
      <w:rPr>
        <w:rStyle w:val="PageNumber"/>
        <w:rFonts w:ascii="Calibri" w:hAnsi="Calibri" w:cs="Calibri"/>
        <w:b/>
        <w:color w:val="F00000"/>
        <w:sz w:val="24"/>
      </w:rPr>
      <w:t>OFFICIAL</w:t>
    </w:r>
    <w:r>
      <w:rPr>
        <w:rStyle w:val="PageNumber"/>
      </w:rPr>
      <w:t xml:space="preserve"> </w:t>
    </w:r>
    <w:r>
      <w:rPr>
        <w:rStyle w:val="PageNumber"/>
      </w:rPr>
      <w:fldChar w:fldCharType="end"/>
    </w:r>
  </w:p>
  <w:p w14:paraId="5EDB2B2F" w14:textId="12CF7AA8" w:rsidR="00EE3ACB" w:rsidRDefault="00EE3AC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40F8">
      <w:rPr>
        <w:rStyle w:val="PageNumber"/>
        <w:noProof/>
      </w:rPr>
      <w:t>2</w:t>
    </w:r>
    <w:r>
      <w:rPr>
        <w:rStyle w:val="PageNumber"/>
      </w:rPr>
      <w:fldChar w:fldCharType="end"/>
    </w:r>
  </w:p>
  <w:p w14:paraId="1914941A" w14:textId="77777777" w:rsidR="00EE3ACB" w:rsidRDefault="00EE3ACB" w:rsidP="000340F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E3EB6" w14:textId="77777777" w:rsidR="000340F8" w:rsidRPr="000340F8" w:rsidRDefault="000340F8" w:rsidP="000340F8">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4DEB3A7D" w14:textId="64588A61" w:rsidR="00EE3ACB" w:rsidRPr="000340F8" w:rsidRDefault="000340F8" w:rsidP="000340F8">
    <w:pPr>
      <w:pStyle w:val="Footer"/>
      <w:jc w:val="center"/>
    </w:pPr>
    <w:r w:rsidRPr="000340F8">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25D33" w14:textId="77777777" w:rsidR="00EE3ACB" w:rsidRDefault="00EE3ACB">
      <w:r>
        <w:separator/>
      </w:r>
    </w:p>
  </w:footnote>
  <w:footnote w:type="continuationSeparator" w:id="0">
    <w:p w14:paraId="08511ED6" w14:textId="77777777" w:rsidR="00EE3ACB" w:rsidRDefault="00EE3ACB">
      <w:r>
        <w:continuationSeparator/>
      </w:r>
    </w:p>
  </w:footnote>
  <w:footnote w:type="continuationNotice" w:id="1">
    <w:p w14:paraId="6E6A1E1F" w14:textId="77777777" w:rsidR="00EE3ACB" w:rsidRDefault="00EE3ACB"/>
  </w:footnote>
  <w:footnote w:id="2">
    <w:p w14:paraId="10E408AA" w14:textId="249E3641" w:rsidR="00EE3ACB" w:rsidRPr="00C323E2" w:rsidRDefault="00EE3ACB">
      <w:pPr>
        <w:pStyle w:val="FootnoteText"/>
        <w:rPr>
          <w:lang w:val="en-AU"/>
        </w:rPr>
      </w:pPr>
      <w:r>
        <w:rPr>
          <w:rStyle w:val="FootnoteReference"/>
        </w:rPr>
        <w:footnoteRef/>
      </w:r>
      <w:hyperlink r:id="rId1" w:history="1">
        <w:r w:rsidRPr="00D17795">
          <w:rPr>
            <w:rStyle w:val="Hyperlink"/>
            <w:sz w:val="18"/>
          </w:rPr>
          <w:t>http://www.enzyme-database.org/</w:t>
        </w:r>
      </w:hyperlink>
      <w:r>
        <w:rPr>
          <w:sz w:val="18"/>
        </w:rPr>
        <w:t xml:space="preserve"> </w:t>
      </w:r>
    </w:p>
  </w:footnote>
  <w:footnote w:id="3">
    <w:p w14:paraId="32A25D69" w14:textId="7D57C22B" w:rsidR="00EE3ACB" w:rsidRPr="00FA4875" w:rsidRDefault="00EE3ACB" w:rsidP="00A26603">
      <w:pPr>
        <w:pStyle w:val="FootnoteText"/>
        <w:rPr>
          <w:lang w:val="en-AU"/>
        </w:rPr>
      </w:pPr>
      <w:r w:rsidRPr="00317F93">
        <w:rPr>
          <w:rStyle w:val="FootnoteReference"/>
          <w:sz w:val="18"/>
        </w:rPr>
        <w:footnoteRef/>
      </w:r>
      <w:r w:rsidRPr="00317F93">
        <w:rPr>
          <w:sz w:val="18"/>
          <w:lang w:val="en-AU"/>
        </w:rPr>
        <w:t>EC: Enzyme Commission, internationally recognised number that provides a unique identifier for the enzyme</w:t>
      </w:r>
    </w:p>
  </w:footnote>
  <w:footnote w:id="4">
    <w:p w14:paraId="28872185" w14:textId="56906112" w:rsidR="00EE3ACB" w:rsidRPr="00DC5F0E" w:rsidRDefault="00EE3ACB" w:rsidP="00DC5F0E">
      <w:pPr>
        <w:pStyle w:val="FootnoteText"/>
        <w:ind w:right="-286"/>
        <w:rPr>
          <w:sz w:val="18"/>
          <w:szCs w:val="18"/>
          <w:lang w:val="en-AU"/>
        </w:rPr>
      </w:pPr>
      <w:r w:rsidRPr="00DC5F0E">
        <w:rPr>
          <w:rStyle w:val="FootnoteReference"/>
          <w:sz w:val="18"/>
          <w:szCs w:val="18"/>
        </w:rPr>
        <w:footnoteRef/>
      </w:r>
      <w:hyperlink r:id="rId2" w:history="1">
        <w:r w:rsidRPr="00DE4BBE">
          <w:rPr>
            <w:rStyle w:val="Hyperlink"/>
            <w:sz w:val="18"/>
            <w:szCs w:val="18"/>
          </w:rPr>
          <w:t>http://www.fao.org/food/food-safety-quality/scientific-advice/jecfa/jecfa-additives/enzymes/en/</w:t>
        </w:r>
      </w:hyperlink>
    </w:p>
  </w:footnote>
  <w:footnote w:id="5">
    <w:p w14:paraId="293C197D" w14:textId="4D151870" w:rsidR="00EE3ACB" w:rsidRPr="00602089" w:rsidRDefault="00EE3ACB" w:rsidP="00602089">
      <w:pPr>
        <w:pStyle w:val="Footer"/>
        <w:widowControl/>
        <w:tabs>
          <w:tab w:val="clear" w:pos="4153"/>
          <w:tab w:val="clear" w:pos="8306"/>
        </w:tabs>
        <w:rPr>
          <w:lang w:val="en-AU"/>
        </w:rPr>
      </w:pPr>
      <w:r>
        <w:rPr>
          <w:rStyle w:val="FootnoteReference"/>
        </w:rPr>
        <w:footnoteRef/>
      </w:r>
      <w:hyperlink r:id="rId3" w:history="1">
        <w:r w:rsidRPr="00C7274E">
          <w:rPr>
            <w:rStyle w:val="Hyperlink"/>
            <w:sz w:val="18"/>
            <w:szCs w:val="20"/>
          </w:rPr>
          <w:t>www.allergenonline.org</w:t>
        </w:r>
      </w:hyperlink>
      <w:r>
        <w:rPr>
          <w:sz w:val="18"/>
          <w:szCs w:val="20"/>
        </w:rPr>
        <w:t xml:space="preserve"> </w:t>
      </w:r>
    </w:p>
  </w:footnote>
  <w:footnote w:id="6">
    <w:p w14:paraId="10871E10" w14:textId="4CC3CE3D" w:rsidR="00EE3ACB" w:rsidRPr="00602089" w:rsidRDefault="00EE3ACB">
      <w:pPr>
        <w:pStyle w:val="FootnoteText"/>
        <w:rPr>
          <w:lang w:val="en-AU"/>
        </w:rPr>
      </w:pPr>
      <w:r>
        <w:rPr>
          <w:rStyle w:val="FootnoteReference"/>
        </w:rPr>
        <w:footnoteRef/>
      </w:r>
      <w:hyperlink r:id="rId4" w:history="1">
        <w:r w:rsidRPr="00C7274E">
          <w:rPr>
            <w:rStyle w:val="Hyperlink"/>
            <w:sz w:val="18"/>
          </w:rPr>
          <w:t>www.ebi.ac.uk/Tools/psa/emboss_needle</w:t>
        </w:r>
      </w:hyperlink>
      <w:r>
        <w:rPr>
          <w:sz w:val="18"/>
        </w:rPr>
        <w:t xml:space="preserve"> </w:t>
      </w:r>
    </w:p>
  </w:footnote>
  <w:footnote w:id="7">
    <w:p w14:paraId="511CC292" w14:textId="195BFFB5" w:rsidR="00EE3ACB" w:rsidRPr="00602089" w:rsidRDefault="00EE3ACB">
      <w:pPr>
        <w:pStyle w:val="FootnoteText"/>
        <w:rPr>
          <w:lang w:val="en-AU"/>
        </w:rPr>
      </w:pPr>
      <w:r>
        <w:rPr>
          <w:rStyle w:val="FootnoteReference"/>
        </w:rPr>
        <w:footnoteRef/>
      </w:r>
      <w:hyperlink r:id="rId5" w:history="1">
        <w:r w:rsidRPr="00C7274E">
          <w:rPr>
            <w:rStyle w:val="Hyperlink"/>
            <w:sz w:val="18"/>
          </w:rPr>
          <w:t>www.uniprot.org</w:t>
        </w:r>
      </w:hyperlink>
      <w:r>
        <w:rPr>
          <w:sz w:val="18"/>
        </w:rPr>
        <w:t xml:space="preserve"> </w:t>
      </w:r>
    </w:p>
  </w:footnote>
  <w:footnote w:id="8">
    <w:p w14:paraId="775D17C9" w14:textId="0B54CD4C" w:rsidR="00EE3ACB" w:rsidRPr="00602089" w:rsidRDefault="00EE3ACB">
      <w:pPr>
        <w:pStyle w:val="FootnoteText"/>
        <w:rPr>
          <w:lang w:val="en-AU"/>
        </w:rPr>
      </w:pPr>
      <w:r>
        <w:rPr>
          <w:rStyle w:val="FootnoteReference"/>
        </w:rPr>
        <w:footnoteRef/>
      </w:r>
      <w:hyperlink r:id="rId6" w:history="1">
        <w:r w:rsidRPr="00C7274E">
          <w:rPr>
            <w:rStyle w:val="Hyperlink"/>
            <w:sz w:val="18"/>
          </w:rPr>
          <w:t>www.clustal.org/clustal2</w:t>
        </w:r>
      </w:hyperlink>
      <w:r>
        <w:rPr>
          <w:sz w:val="18"/>
        </w:rPr>
        <w:t xml:space="preserve"> </w:t>
      </w:r>
    </w:p>
  </w:footnote>
  <w:footnote w:id="9">
    <w:p w14:paraId="1316D502" w14:textId="4F5480CD" w:rsidR="00EE3ACB" w:rsidRPr="00E2435D" w:rsidRDefault="00EE3ACB">
      <w:pPr>
        <w:pStyle w:val="FootnoteText"/>
        <w:rPr>
          <w:sz w:val="18"/>
        </w:rPr>
      </w:pPr>
      <w:r>
        <w:rPr>
          <w:rStyle w:val="FootnoteReference"/>
        </w:rPr>
        <w:footnoteRef/>
      </w:r>
      <w:hyperlink r:id="rId7" w:history="1">
        <w:r w:rsidRPr="00C7274E">
          <w:rPr>
            <w:rStyle w:val="Hyperlink"/>
          </w:rPr>
          <w:t>http://web.expasy.org/peptide_cutter/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1F13" w14:textId="77777777" w:rsidR="000340F8" w:rsidRPr="000340F8" w:rsidRDefault="000340F8" w:rsidP="000340F8">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0340F8">
      <w:rPr>
        <w:rFonts w:ascii="Calibri" w:hAnsi="Calibri" w:cs="Calibri"/>
        <w:b/>
        <w:color w:val="F00000"/>
        <w:sz w:val="24"/>
      </w:rPr>
      <w:t>OFFICIAL</w:t>
    </w:r>
  </w:p>
  <w:p w14:paraId="031A143D" w14:textId="4CB0DCF1" w:rsidR="00EE3ACB" w:rsidRPr="000340F8" w:rsidRDefault="000340F8" w:rsidP="000340F8">
    <w:pPr>
      <w:pStyle w:val="Header"/>
      <w:jc w:val="center"/>
    </w:pPr>
    <w:r w:rsidRPr="000340F8">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2159" w14:textId="77777777" w:rsidR="000340F8" w:rsidRPr="000340F8" w:rsidRDefault="000340F8" w:rsidP="000340F8">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0340F8">
      <w:rPr>
        <w:rFonts w:ascii="Calibri" w:hAnsi="Calibri" w:cs="Calibri"/>
        <w:b/>
        <w:color w:val="F00000"/>
        <w:sz w:val="24"/>
      </w:rPr>
      <w:t>OFFICIAL</w:t>
    </w:r>
  </w:p>
  <w:p w14:paraId="7ABFC76D" w14:textId="50F55A0D" w:rsidR="00EE3ACB" w:rsidRPr="000340F8" w:rsidRDefault="000340F8" w:rsidP="000340F8">
    <w:pPr>
      <w:pStyle w:val="Header"/>
      <w:jc w:val="center"/>
    </w:pPr>
    <w:r w:rsidRPr="000340F8">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380B2" w14:textId="77777777" w:rsidR="000340F8" w:rsidRPr="000340F8" w:rsidRDefault="000340F8" w:rsidP="000340F8">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0340F8">
      <w:rPr>
        <w:rFonts w:ascii="Calibri" w:hAnsi="Calibri" w:cs="Calibri"/>
        <w:b/>
        <w:bCs/>
        <w:color w:val="F00000"/>
        <w:sz w:val="24"/>
      </w:rPr>
      <w:t>OFFICIAL</w:t>
    </w:r>
  </w:p>
  <w:p w14:paraId="71629233" w14:textId="5B0CF8CA" w:rsidR="000340F8" w:rsidRDefault="000340F8" w:rsidP="000340F8">
    <w:pPr>
      <w:pStyle w:val="Header"/>
      <w:jc w:val="center"/>
      <w:rPr>
        <w:b/>
        <w:bCs/>
      </w:rPr>
    </w:pPr>
    <w:r w:rsidRPr="000340F8">
      <w:rPr>
        <w:rFonts w:ascii="Calibri" w:hAnsi="Calibri" w:cs="Calibri"/>
        <w:b/>
        <w:bCs/>
        <w:color w:val="F00000"/>
        <w:sz w:val="24"/>
      </w:rPr>
      <w:t xml:space="preserve"> </w:t>
    </w:r>
    <w:r>
      <w:rPr>
        <w:b/>
        <w:bCs/>
      </w:rPr>
      <w:fldChar w:fldCharType="end"/>
    </w:r>
  </w:p>
  <w:p w14:paraId="355339FC" w14:textId="538D5E2C" w:rsidR="00EE3ACB" w:rsidRDefault="00EE3AC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4177C03"/>
    <w:multiLevelType w:val="hybridMultilevel"/>
    <w:tmpl w:val="C60E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50D2B"/>
    <w:multiLevelType w:val="hybridMultilevel"/>
    <w:tmpl w:val="9FD64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AD5A5E"/>
    <w:multiLevelType w:val="hybridMultilevel"/>
    <w:tmpl w:val="5A90B1BC"/>
    <w:lvl w:ilvl="0" w:tplc="2610AA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8CC1099"/>
    <w:multiLevelType w:val="hybridMultilevel"/>
    <w:tmpl w:val="3326AAD2"/>
    <w:lvl w:ilvl="0" w:tplc="735638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5"/>
  </w:num>
  <w:num w:numId="2">
    <w:abstractNumId w:val="8"/>
  </w:num>
  <w:num w:numId="3">
    <w:abstractNumId w:val="2"/>
  </w:num>
  <w:num w:numId="4">
    <w:abstractNumId w:val="10"/>
  </w:num>
  <w:num w:numId="5">
    <w:abstractNumId w:val="7"/>
  </w:num>
  <w:num w:numId="6">
    <w:abstractNumId w:val="4"/>
  </w:num>
  <w:num w:numId="7">
    <w:abstractNumId w:val="0"/>
  </w:num>
  <w:num w:numId="8">
    <w:abstractNumId w:val="11"/>
  </w:num>
  <w:num w:numId="9">
    <w:abstractNumId w:val="1"/>
  </w:num>
  <w:num w:numId="10">
    <w:abstractNumId w:val="9"/>
  </w:num>
  <w:num w:numId="11">
    <w:abstractNumId w:val="3"/>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8A7"/>
    <w:rsid w:val="00001CF2"/>
    <w:rsid w:val="0000247B"/>
    <w:rsid w:val="0000469B"/>
    <w:rsid w:val="00023ED4"/>
    <w:rsid w:val="00026D72"/>
    <w:rsid w:val="00030FD7"/>
    <w:rsid w:val="000340F8"/>
    <w:rsid w:val="00035FF3"/>
    <w:rsid w:val="00051021"/>
    <w:rsid w:val="00051ED9"/>
    <w:rsid w:val="00057181"/>
    <w:rsid w:val="0006473A"/>
    <w:rsid w:val="00064B2D"/>
    <w:rsid w:val="00065F1F"/>
    <w:rsid w:val="00076D33"/>
    <w:rsid w:val="00086543"/>
    <w:rsid w:val="00092CDA"/>
    <w:rsid w:val="000A27E9"/>
    <w:rsid w:val="000A2E45"/>
    <w:rsid w:val="000A3D8B"/>
    <w:rsid w:val="000A5381"/>
    <w:rsid w:val="000A5DF8"/>
    <w:rsid w:val="000A735A"/>
    <w:rsid w:val="000B009D"/>
    <w:rsid w:val="000B52E2"/>
    <w:rsid w:val="000B6AF2"/>
    <w:rsid w:val="000C35CA"/>
    <w:rsid w:val="000C70B3"/>
    <w:rsid w:val="000D279F"/>
    <w:rsid w:val="000D55CE"/>
    <w:rsid w:val="000D6888"/>
    <w:rsid w:val="000D6FD4"/>
    <w:rsid w:val="000E0AE4"/>
    <w:rsid w:val="000E3DBC"/>
    <w:rsid w:val="000F2528"/>
    <w:rsid w:val="001057DA"/>
    <w:rsid w:val="00113CE3"/>
    <w:rsid w:val="00114875"/>
    <w:rsid w:val="00117522"/>
    <w:rsid w:val="00135D02"/>
    <w:rsid w:val="00150F02"/>
    <w:rsid w:val="001542D8"/>
    <w:rsid w:val="0015507C"/>
    <w:rsid w:val="001673B5"/>
    <w:rsid w:val="00180C41"/>
    <w:rsid w:val="00182C4C"/>
    <w:rsid w:val="00183784"/>
    <w:rsid w:val="00186304"/>
    <w:rsid w:val="00190C63"/>
    <w:rsid w:val="00197D8D"/>
    <w:rsid w:val="001A1A75"/>
    <w:rsid w:val="001A7E9A"/>
    <w:rsid w:val="001B44FA"/>
    <w:rsid w:val="001B6D26"/>
    <w:rsid w:val="001C1668"/>
    <w:rsid w:val="001C27A3"/>
    <w:rsid w:val="001C5295"/>
    <w:rsid w:val="001C61E6"/>
    <w:rsid w:val="001C79CB"/>
    <w:rsid w:val="001E09FA"/>
    <w:rsid w:val="001F275D"/>
    <w:rsid w:val="00203540"/>
    <w:rsid w:val="00203EFD"/>
    <w:rsid w:val="00210FFF"/>
    <w:rsid w:val="00213A49"/>
    <w:rsid w:val="0021612B"/>
    <w:rsid w:val="0022083A"/>
    <w:rsid w:val="00221BD3"/>
    <w:rsid w:val="00221D07"/>
    <w:rsid w:val="002232EF"/>
    <w:rsid w:val="00227767"/>
    <w:rsid w:val="00227E4A"/>
    <w:rsid w:val="00234F97"/>
    <w:rsid w:val="0024582E"/>
    <w:rsid w:val="00245C56"/>
    <w:rsid w:val="0025281A"/>
    <w:rsid w:val="002547EF"/>
    <w:rsid w:val="00256D65"/>
    <w:rsid w:val="00263575"/>
    <w:rsid w:val="00271453"/>
    <w:rsid w:val="00271F00"/>
    <w:rsid w:val="00273A80"/>
    <w:rsid w:val="0029204E"/>
    <w:rsid w:val="0029631C"/>
    <w:rsid w:val="002A0194"/>
    <w:rsid w:val="002A3314"/>
    <w:rsid w:val="002A5981"/>
    <w:rsid w:val="002A5F8B"/>
    <w:rsid w:val="002A7F6C"/>
    <w:rsid w:val="002B1E20"/>
    <w:rsid w:val="002B49D3"/>
    <w:rsid w:val="002C0539"/>
    <w:rsid w:val="002C1CD2"/>
    <w:rsid w:val="002D6809"/>
    <w:rsid w:val="002E0CBC"/>
    <w:rsid w:val="002E3DF2"/>
    <w:rsid w:val="002F6488"/>
    <w:rsid w:val="00310EE4"/>
    <w:rsid w:val="00320839"/>
    <w:rsid w:val="003213F9"/>
    <w:rsid w:val="0032227F"/>
    <w:rsid w:val="00323DBF"/>
    <w:rsid w:val="00326D85"/>
    <w:rsid w:val="003309A8"/>
    <w:rsid w:val="00332B12"/>
    <w:rsid w:val="00335154"/>
    <w:rsid w:val="00336100"/>
    <w:rsid w:val="00337FF5"/>
    <w:rsid w:val="00351B07"/>
    <w:rsid w:val="00352CF2"/>
    <w:rsid w:val="00364841"/>
    <w:rsid w:val="00364F3D"/>
    <w:rsid w:val="00371B29"/>
    <w:rsid w:val="0037656B"/>
    <w:rsid w:val="003858AB"/>
    <w:rsid w:val="00391769"/>
    <w:rsid w:val="003953E1"/>
    <w:rsid w:val="003956B3"/>
    <w:rsid w:val="003A68BE"/>
    <w:rsid w:val="003B1805"/>
    <w:rsid w:val="003B3C9D"/>
    <w:rsid w:val="003B78E0"/>
    <w:rsid w:val="003C4969"/>
    <w:rsid w:val="003E0074"/>
    <w:rsid w:val="003E41D5"/>
    <w:rsid w:val="003E46BA"/>
    <w:rsid w:val="003E52FA"/>
    <w:rsid w:val="003E6AB9"/>
    <w:rsid w:val="003E7D22"/>
    <w:rsid w:val="003F3A75"/>
    <w:rsid w:val="003F6F9F"/>
    <w:rsid w:val="003F74C1"/>
    <w:rsid w:val="00405B1A"/>
    <w:rsid w:val="0040710F"/>
    <w:rsid w:val="00410C76"/>
    <w:rsid w:val="00411907"/>
    <w:rsid w:val="00413CA8"/>
    <w:rsid w:val="00417EE3"/>
    <w:rsid w:val="004207EB"/>
    <w:rsid w:val="00437276"/>
    <w:rsid w:val="004432D7"/>
    <w:rsid w:val="00447E4A"/>
    <w:rsid w:val="00456B54"/>
    <w:rsid w:val="00461985"/>
    <w:rsid w:val="00464643"/>
    <w:rsid w:val="00471ACB"/>
    <w:rsid w:val="00471F7D"/>
    <w:rsid w:val="00486793"/>
    <w:rsid w:val="00487C2F"/>
    <w:rsid w:val="00491772"/>
    <w:rsid w:val="004A2037"/>
    <w:rsid w:val="004B53ED"/>
    <w:rsid w:val="004C2CE7"/>
    <w:rsid w:val="004D2D26"/>
    <w:rsid w:val="004D3F74"/>
    <w:rsid w:val="004D639A"/>
    <w:rsid w:val="004F2E4C"/>
    <w:rsid w:val="004F4F98"/>
    <w:rsid w:val="004F69F6"/>
    <w:rsid w:val="004F79AC"/>
    <w:rsid w:val="005000CC"/>
    <w:rsid w:val="005010C6"/>
    <w:rsid w:val="005017CF"/>
    <w:rsid w:val="00506F88"/>
    <w:rsid w:val="00516566"/>
    <w:rsid w:val="005207D8"/>
    <w:rsid w:val="0053126E"/>
    <w:rsid w:val="0053464E"/>
    <w:rsid w:val="00537778"/>
    <w:rsid w:val="0054272D"/>
    <w:rsid w:val="00562917"/>
    <w:rsid w:val="00564672"/>
    <w:rsid w:val="005716BE"/>
    <w:rsid w:val="0057615C"/>
    <w:rsid w:val="0058504E"/>
    <w:rsid w:val="00586228"/>
    <w:rsid w:val="005A1D97"/>
    <w:rsid w:val="005A58F3"/>
    <w:rsid w:val="005B6AF4"/>
    <w:rsid w:val="005B750E"/>
    <w:rsid w:val="005B7A73"/>
    <w:rsid w:val="005C04CB"/>
    <w:rsid w:val="005D16AD"/>
    <w:rsid w:val="005D4E06"/>
    <w:rsid w:val="005D6623"/>
    <w:rsid w:val="005D72E1"/>
    <w:rsid w:val="005E3BA3"/>
    <w:rsid w:val="005E6C51"/>
    <w:rsid w:val="005E6E16"/>
    <w:rsid w:val="005F400E"/>
    <w:rsid w:val="005F5ED5"/>
    <w:rsid w:val="005F7342"/>
    <w:rsid w:val="00602089"/>
    <w:rsid w:val="00603A08"/>
    <w:rsid w:val="00610A3C"/>
    <w:rsid w:val="00611AD9"/>
    <w:rsid w:val="00627F48"/>
    <w:rsid w:val="00630C23"/>
    <w:rsid w:val="00634E74"/>
    <w:rsid w:val="006460AB"/>
    <w:rsid w:val="0065480D"/>
    <w:rsid w:val="00661D3A"/>
    <w:rsid w:val="00662D0C"/>
    <w:rsid w:val="00663FCF"/>
    <w:rsid w:val="006652A2"/>
    <w:rsid w:val="00690206"/>
    <w:rsid w:val="006937FF"/>
    <w:rsid w:val="006A48A7"/>
    <w:rsid w:val="006B445E"/>
    <w:rsid w:val="006B4BA1"/>
    <w:rsid w:val="006B5EBE"/>
    <w:rsid w:val="006C0C12"/>
    <w:rsid w:val="006C52DD"/>
    <w:rsid w:val="006C5CF5"/>
    <w:rsid w:val="006D4230"/>
    <w:rsid w:val="006D7AD1"/>
    <w:rsid w:val="006F4A82"/>
    <w:rsid w:val="0070373B"/>
    <w:rsid w:val="00704354"/>
    <w:rsid w:val="00713B41"/>
    <w:rsid w:val="00724FA4"/>
    <w:rsid w:val="00730800"/>
    <w:rsid w:val="00735022"/>
    <w:rsid w:val="007370DF"/>
    <w:rsid w:val="007602AA"/>
    <w:rsid w:val="007652EF"/>
    <w:rsid w:val="00772BDC"/>
    <w:rsid w:val="007766F2"/>
    <w:rsid w:val="00780792"/>
    <w:rsid w:val="007944A1"/>
    <w:rsid w:val="00796562"/>
    <w:rsid w:val="007A44B4"/>
    <w:rsid w:val="007A7D3D"/>
    <w:rsid w:val="007B225D"/>
    <w:rsid w:val="007B7B89"/>
    <w:rsid w:val="007C11F0"/>
    <w:rsid w:val="007C16D6"/>
    <w:rsid w:val="007C174F"/>
    <w:rsid w:val="007C1C64"/>
    <w:rsid w:val="007C4D01"/>
    <w:rsid w:val="007D03EA"/>
    <w:rsid w:val="007E39B0"/>
    <w:rsid w:val="007E48BC"/>
    <w:rsid w:val="007E54C2"/>
    <w:rsid w:val="007E79F7"/>
    <w:rsid w:val="007F1A09"/>
    <w:rsid w:val="007F238C"/>
    <w:rsid w:val="007F3630"/>
    <w:rsid w:val="007F411F"/>
    <w:rsid w:val="0080212F"/>
    <w:rsid w:val="00807559"/>
    <w:rsid w:val="00814A9A"/>
    <w:rsid w:val="00814D62"/>
    <w:rsid w:val="00815CD6"/>
    <w:rsid w:val="008450BC"/>
    <w:rsid w:val="0085334B"/>
    <w:rsid w:val="0085483D"/>
    <w:rsid w:val="00865D5A"/>
    <w:rsid w:val="00870214"/>
    <w:rsid w:val="008706CD"/>
    <w:rsid w:val="00871FC0"/>
    <w:rsid w:val="00885C51"/>
    <w:rsid w:val="00885EB0"/>
    <w:rsid w:val="00891F4B"/>
    <w:rsid w:val="0089264A"/>
    <w:rsid w:val="00895F7C"/>
    <w:rsid w:val="00896B85"/>
    <w:rsid w:val="008A22BE"/>
    <w:rsid w:val="008A43E9"/>
    <w:rsid w:val="008C1B36"/>
    <w:rsid w:val="008C1CA2"/>
    <w:rsid w:val="008C7A14"/>
    <w:rsid w:val="008C7FF3"/>
    <w:rsid w:val="008D06C6"/>
    <w:rsid w:val="008D19C7"/>
    <w:rsid w:val="008D614B"/>
    <w:rsid w:val="008E0F2C"/>
    <w:rsid w:val="008E6250"/>
    <w:rsid w:val="008F46A6"/>
    <w:rsid w:val="00902AF6"/>
    <w:rsid w:val="00916578"/>
    <w:rsid w:val="00920249"/>
    <w:rsid w:val="00924C80"/>
    <w:rsid w:val="00932E99"/>
    <w:rsid w:val="00932F14"/>
    <w:rsid w:val="0094247F"/>
    <w:rsid w:val="00942D60"/>
    <w:rsid w:val="00944226"/>
    <w:rsid w:val="009476BF"/>
    <w:rsid w:val="00954FF4"/>
    <w:rsid w:val="00961BA2"/>
    <w:rsid w:val="0096523B"/>
    <w:rsid w:val="009669DF"/>
    <w:rsid w:val="00966EE3"/>
    <w:rsid w:val="00972D06"/>
    <w:rsid w:val="0097358D"/>
    <w:rsid w:val="00993651"/>
    <w:rsid w:val="0099661E"/>
    <w:rsid w:val="009A391C"/>
    <w:rsid w:val="009A50F2"/>
    <w:rsid w:val="009B094B"/>
    <w:rsid w:val="009D517F"/>
    <w:rsid w:val="009E0A61"/>
    <w:rsid w:val="009E3010"/>
    <w:rsid w:val="009F007E"/>
    <w:rsid w:val="009F7065"/>
    <w:rsid w:val="00A038CA"/>
    <w:rsid w:val="00A07E6D"/>
    <w:rsid w:val="00A10671"/>
    <w:rsid w:val="00A15A0C"/>
    <w:rsid w:val="00A23AAE"/>
    <w:rsid w:val="00A26603"/>
    <w:rsid w:val="00A4175D"/>
    <w:rsid w:val="00A472E8"/>
    <w:rsid w:val="00A56DC7"/>
    <w:rsid w:val="00A573EF"/>
    <w:rsid w:val="00A60016"/>
    <w:rsid w:val="00A60AE0"/>
    <w:rsid w:val="00A727F0"/>
    <w:rsid w:val="00A74FD1"/>
    <w:rsid w:val="00A77BFA"/>
    <w:rsid w:val="00A84A58"/>
    <w:rsid w:val="00A86622"/>
    <w:rsid w:val="00AB1FA4"/>
    <w:rsid w:val="00AB7EBA"/>
    <w:rsid w:val="00AC2459"/>
    <w:rsid w:val="00AD1873"/>
    <w:rsid w:val="00AD2449"/>
    <w:rsid w:val="00AE76DF"/>
    <w:rsid w:val="00AF06FC"/>
    <w:rsid w:val="00AF2DE9"/>
    <w:rsid w:val="00AF3391"/>
    <w:rsid w:val="00AF3694"/>
    <w:rsid w:val="00AF387F"/>
    <w:rsid w:val="00B0025F"/>
    <w:rsid w:val="00B00E7F"/>
    <w:rsid w:val="00B040FA"/>
    <w:rsid w:val="00B12F1E"/>
    <w:rsid w:val="00B15D13"/>
    <w:rsid w:val="00B173DA"/>
    <w:rsid w:val="00B200A2"/>
    <w:rsid w:val="00B21DCC"/>
    <w:rsid w:val="00B23D33"/>
    <w:rsid w:val="00B25F37"/>
    <w:rsid w:val="00B35AF5"/>
    <w:rsid w:val="00B37BF0"/>
    <w:rsid w:val="00B44422"/>
    <w:rsid w:val="00B46EA0"/>
    <w:rsid w:val="00B731D3"/>
    <w:rsid w:val="00B839A3"/>
    <w:rsid w:val="00B902BD"/>
    <w:rsid w:val="00BA24E2"/>
    <w:rsid w:val="00BD2A39"/>
    <w:rsid w:val="00BD2E80"/>
    <w:rsid w:val="00BE11B8"/>
    <w:rsid w:val="00BE5845"/>
    <w:rsid w:val="00BF7FF0"/>
    <w:rsid w:val="00C057F4"/>
    <w:rsid w:val="00C10F26"/>
    <w:rsid w:val="00C12502"/>
    <w:rsid w:val="00C21826"/>
    <w:rsid w:val="00C323E2"/>
    <w:rsid w:val="00C32DDC"/>
    <w:rsid w:val="00C36578"/>
    <w:rsid w:val="00C40AA5"/>
    <w:rsid w:val="00C46F70"/>
    <w:rsid w:val="00C476D0"/>
    <w:rsid w:val="00C5269A"/>
    <w:rsid w:val="00C61AC1"/>
    <w:rsid w:val="00C836E3"/>
    <w:rsid w:val="00C86577"/>
    <w:rsid w:val="00C92E07"/>
    <w:rsid w:val="00C94D18"/>
    <w:rsid w:val="00C96868"/>
    <w:rsid w:val="00C96BB5"/>
    <w:rsid w:val="00C97C23"/>
    <w:rsid w:val="00CA0416"/>
    <w:rsid w:val="00CA641D"/>
    <w:rsid w:val="00CB7EEA"/>
    <w:rsid w:val="00CC3A4A"/>
    <w:rsid w:val="00CC4A89"/>
    <w:rsid w:val="00CC560B"/>
    <w:rsid w:val="00CC75E2"/>
    <w:rsid w:val="00CD46EB"/>
    <w:rsid w:val="00CD7EBF"/>
    <w:rsid w:val="00CE3E3B"/>
    <w:rsid w:val="00CF1DC0"/>
    <w:rsid w:val="00D02F7C"/>
    <w:rsid w:val="00D03577"/>
    <w:rsid w:val="00D056F1"/>
    <w:rsid w:val="00D07856"/>
    <w:rsid w:val="00D11171"/>
    <w:rsid w:val="00D14930"/>
    <w:rsid w:val="00D22256"/>
    <w:rsid w:val="00D22F3C"/>
    <w:rsid w:val="00D23DB6"/>
    <w:rsid w:val="00D43FE6"/>
    <w:rsid w:val="00D476C2"/>
    <w:rsid w:val="00D51A95"/>
    <w:rsid w:val="00D576A9"/>
    <w:rsid w:val="00D60568"/>
    <w:rsid w:val="00D67C6B"/>
    <w:rsid w:val="00D70C7A"/>
    <w:rsid w:val="00D717AD"/>
    <w:rsid w:val="00D735D8"/>
    <w:rsid w:val="00D81D38"/>
    <w:rsid w:val="00D90731"/>
    <w:rsid w:val="00D9551E"/>
    <w:rsid w:val="00D9620E"/>
    <w:rsid w:val="00DA10A8"/>
    <w:rsid w:val="00DA1F91"/>
    <w:rsid w:val="00DA3E84"/>
    <w:rsid w:val="00DB1E08"/>
    <w:rsid w:val="00DB2973"/>
    <w:rsid w:val="00DC0049"/>
    <w:rsid w:val="00DC1B56"/>
    <w:rsid w:val="00DC2129"/>
    <w:rsid w:val="00DC5F0E"/>
    <w:rsid w:val="00DC6570"/>
    <w:rsid w:val="00DD077F"/>
    <w:rsid w:val="00DD1DD9"/>
    <w:rsid w:val="00DD28BB"/>
    <w:rsid w:val="00DD3C5E"/>
    <w:rsid w:val="00DE23A6"/>
    <w:rsid w:val="00DE4BBE"/>
    <w:rsid w:val="00DE506A"/>
    <w:rsid w:val="00DF25C3"/>
    <w:rsid w:val="00DF3B85"/>
    <w:rsid w:val="00DF4A2F"/>
    <w:rsid w:val="00E02F10"/>
    <w:rsid w:val="00E04062"/>
    <w:rsid w:val="00E05DC0"/>
    <w:rsid w:val="00E06296"/>
    <w:rsid w:val="00E063C6"/>
    <w:rsid w:val="00E066BA"/>
    <w:rsid w:val="00E1478C"/>
    <w:rsid w:val="00E2003B"/>
    <w:rsid w:val="00E203C2"/>
    <w:rsid w:val="00E2435D"/>
    <w:rsid w:val="00E279D8"/>
    <w:rsid w:val="00E319B1"/>
    <w:rsid w:val="00E44E0D"/>
    <w:rsid w:val="00E5492F"/>
    <w:rsid w:val="00E5502A"/>
    <w:rsid w:val="00E56924"/>
    <w:rsid w:val="00E62DEF"/>
    <w:rsid w:val="00E63952"/>
    <w:rsid w:val="00E70A86"/>
    <w:rsid w:val="00E777EC"/>
    <w:rsid w:val="00E80FCD"/>
    <w:rsid w:val="00E86682"/>
    <w:rsid w:val="00E90471"/>
    <w:rsid w:val="00EA2529"/>
    <w:rsid w:val="00EA7F2F"/>
    <w:rsid w:val="00EB1E89"/>
    <w:rsid w:val="00EC00DE"/>
    <w:rsid w:val="00EC30E1"/>
    <w:rsid w:val="00EC5EC0"/>
    <w:rsid w:val="00ED172A"/>
    <w:rsid w:val="00ED1D38"/>
    <w:rsid w:val="00ED1D89"/>
    <w:rsid w:val="00ED2BB1"/>
    <w:rsid w:val="00ED4528"/>
    <w:rsid w:val="00EE3ACB"/>
    <w:rsid w:val="00EF5588"/>
    <w:rsid w:val="00F019E1"/>
    <w:rsid w:val="00F0469D"/>
    <w:rsid w:val="00F055CC"/>
    <w:rsid w:val="00F0577C"/>
    <w:rsid w:val="00F05C3E"/>
    <w:rsid w:val="00F11F6C"/>
    <w:rsid w:val="00F148E0"/>
    <w:rsid w:val="00F14BEC"/>
    <w:rsid w:val="00F225C5"/>
    <w:rsid w:val="00F2587A"/>
    <w:rsid w:val="00F3715D"/>
    <w:rsid w:val="00F41738"/>
    <w:rsid w:val="00F420C8"/>
    <w:rsid w:val="00F42359"/>
    <w:rsid w:val="00F42A4C"/>
    <w:rsid w:val="00F53069"/>
    <w:rsid w:val="00F5374D"/>
    <w:rsid w:val="00F604DE"/>
    <w:rsid w:val="00F727D4"/>
    <w:rsid w:val="00F87D40"/>
    <w:rsid w:val="00F94B1C"/>
    <w:rsid w:val="00FB7512"/>
    <w:rsid w:val="00FD7547"/>
    <w:rsid w:val="00FE2817"/>
    <w:rsid w:val="00FF07C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7A89A"/>
  <w15:docId w15:val="{3ECE6025-C614-41A4-ABAE-C094DF45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DE4BBE"/>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9D517F"/>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DE4BB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9D517F"/>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DA1F91"/>
    <w:pPr>
      <w:tabs>
        <w:tab w:val="left" w:pos="1134"/>
        <w:tab w:val="right" w:leader="dot" w:pos="9060"/>
      </w:tabs>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5B750E"/>
    <w:pPr>
      <w:widowControl/>
      <w:ind w:left="720"/>
      <w:contextualSpacing/>
    </w:pPr>
    <w:rPr>
      <w:rFonts w:eastAsiaTheme="minorHAnsi" w:cstheme="minorBidi"/>
      <w:szCs w:val="22"/>
      <w:lang w:bidi="ar-SA"/>
    </w:rPr>
  </w:style>
  <w:style w:type="paragraph" w:customStyle="1" w:styleId="Default">
    <w:name w:val="Default"/>
    <w:rsid w:val="005B750E"/>
    <w:pPr>
      <w:autoSpaceDE w:val="0"/>
      <w:autoSpaceDN w:val="0"/>
      <w:adjustRightInd w:val="0"/>
    </w:pPr>
    <w:rPr>
      <w:rFonts w:ascii="Arial" w:eastAsiaTheme="minorHAnsi" w:hAnsi="Arial" w:cs="Arial"/>
      <w:color w:val="000000"/>
      <w:sz w:val="24"/>
      <w:szCs w:val="24"/>
      <w:lang w:eastAsia="en-US"/>
    </w:rPr>
  </w:style>
  <w:style w:type="character" w:customStyle="1" w:styleId="FooterChar">
    <w:name w:val="Footer Char"/>
    <w:aliases w:val="FSFooter Char"/>
    <w:basedOn w:val="DefaultParagraphFont"/>
    <w:link w:val="Footer"/>
    <w:uiPriority w:val="4"/>
    <w:rsid w:val="005B750E"/>
    <w:rPr>
      <w:rFonts w:ascii="Arial" w:hAnsi="Arial"/>
      <w:szCs w:val="24"/>
      <w:lang w:eastAsia="en-US" w:bidi="en-US"/>
    </w:rPr>
  </w:style>
  <w:style w:type="paragraph" w:customStyle="1" w:styleId="TableFootnote">
    <w:name w:val="TableFootnote"/>
    <w:basedOn w:val="Normal"/>
    <w:rsid w:val="003E52FA"/>
    <w:pPr>
      <w:spacing w:before="120" w:after="120"/>
    </w:pPr>
    <w:rPr>
      <w:rFonts w:ascii="Times New Roman" w:hAnsi="Times New Roman"/>
      <w:snapToGrid w:val="0"/>
      <w:sz w:val="20"/>
      <w:szCs w:val="20"/>
      <w:lang w:eastAsia="zh-CN" w:bidi="ar-SA"/>
    </w:rPr>
  </w:style>
  <w:style w:type="character" w:styleId="Emphasis">
    <w:name w:val="Emphasis"/>
    <w:basedOn w:val="DefaultParagraphFont"/>
    <w:uiPriority w:val="20"/>
    <w:qFormat/>
    <w:rsid w:val="00461985"/>
    <w:rPr>
      <w:i/>
      <w:iCs/>
    </w:rPr>
  </w:style>
  <w:style w:type="paragraph" w:styleId="CommentSubject">
    <w:name w:val="annotation subject"/>
    <w:basedOn w:val="CommentText"/>
    <w:next w:val="CommentText"/>
    <w:link w:val="CommentSubjectChar"/>
    <w:rsid w:val="000D279F"/>
    <w:rPr>
      <w:b/>
      <w:bCs/>
    </w:rPr>
  </w:style>
  <w:style w:type="character" w:customStyle="1" w:styleId="CommentSubjectChar">
    <w:name w:val="Comment Subject Char"/>
    <w:basedOn w:val="CommentTextChar"/>
    <w:link w:val="CommentSubject"/>
    <w:rsid w:val="000D279F"/>
    <w:rPr>
      <w:rFonts w:ascii="Arial" w:hAnsi="Arial"/>
      <w:b/>
      <w:bCs/>
      <w:lang w:eastAsia="en-US" w:bidi="en-US"/>
    </w:rPr>
  </w:style>
  <w:style w:type="paragraph" w:styleId="Revision">
    <w:name w:val="Revision"/>
    <w:hidden/>
    <w:uiPriority w:val="99"/>
    <w:semiHidden/>
    <w:rsid w:val="00DE4BBE"/>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clustal.org/clustal2"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www.enzyme-database.org/"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uniprot.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osp.od.nih.gov/sites/default/files/NIH_Guidelines.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ebi.ac.uk/Tools/psa/emboss_needle" TargetMode="External"/><Relationship Id="rId32" Type="http://schemas.openxmlformats.org/officeDocument/2006/relationships/hyperlink" Target="http://dx.doi.org/10.1787/9789264091016-en" TargetMode="External"/><Relationship Id="rId28" Type="http://schemas.openxmlformats.org/officeDocument/2006/relationships/hyperlink" Target="http://www.fda.gov/Food/IngredientsPackagingLabeling/GRAS/%20NoticeInventory/%20ucm462492.htm" TargetMode="External"/><Relationship Id="rId15" Type="http://schemas.openxmlformats.org/officeDocument/2006/relationships/header" Target="header1.xml"/><Relationship Id="rId23" Type="http://schemas.openxmlformats.org/officeDocument/2006/relationships/hyperlink" Target="http://www.allergenonline.org"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dx.doi.org/10.1787/9789264070707-en" TargetMode="External"/><Relationship Id="rId30" Type="http://schemas.openxmlformats.org/officeDocument/2006/relationships/hyperlink" Target="http://dx.doi.org/10.1787/9789264071247-en"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ao.org/food/food-safety-quality/scientific-advice/jecfa/jecfa-additives/enzymes/en/" TargetMode="External"/><Relationship Id="rId27" Type="http://schemas.openxmlformats.org/officeDocument/2006/relationships/hyperlink" Target="http://web.expasy.org/peptide_cut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lergenonline.org" TargetMode="External"/><Relationship Id="rId7" Type="http://schemas.openxmlformats.org/officeDocument/2006/relationships/hyperlink" Target="http://web.expasy.org/peptide_cutter/" TargetMode="External"/><Relationship Id="rId2" Type="http://schemas.openxmlformats.org/officeDocument/2006/relationships/hyperlink" Target="http://www.fao.org/food/food-safety-quality/scientific-advice/jecfa/jecfa-additives/enzymes/en/" TargetMode="External"/><Relationship Id="rId1" Type="http://schemas.openxmlformats.org/officeDocument/2006/relationships/hyperlink" Target="http://www.enzyme-database.org/" TargetMode="External"/><Relationship Id="rId6" Type="http://schemas.openxmlformats.org/officeDocument/2006/relationships/hyperlink" Target="http://www.clustal.org/clustal2" TargetMode="External"/><Relationship Id="rId5" Type="http://schemas.openxmlformats.org/officeDocument/2006/relationships/hyperlink" Target="http://www.uniprot.org" TargetMode="External"/><Relationship Id="rId4" Type="http://schemas.openxmlformats.org/officeDocument/2006/relationships/hyperlink" Target="http://www.ebi.ac.uk/Tools/psa/emboss_nee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A1135</Related_x0020_project>
    <TaxCatchAll xmlns="ec50576e-4a27-4780-a1e1-e59563bc70b8">
      <Value>168</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GM</TermName>
          <TermId>13538662-5097-4a97-b7d8-ef83c4e6adf2</TermId>
        </TermInfo>
      </Terms>
    </bd06d2da0152468b9236b575a71e0e7c>
    <_dlc_DocId xmlns="7e329c68-5cbf-4e54-96e5-e53e71021bd2">WYJEUTFRV6AA-2476-154</_dlc_DocId>
    <_dlc_DocIdUrl xmlns="7e329c68-5cbf-4e54-96e5-e53e71021bd2">
      <Url>http://fsanzapps/applications/A1135/_layouts/15/DocIdRedir.aspx?ID=WYJEUTFRV6AA-2476-154</Url>
      <Description>WYJEUTFRV6AA-2476-154</Description>
    </_dlc_DocIdUrl>
    <_dlc_DocIdPersistId xmlns="7e329c68-5cbf-4e54-96e5-e53e71021bd2">false</_dlc_DocIdPersistId>
  </documentManagement>
</p:properti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BE18E-7BE1-41BC-B561-9FC02DE8E9DC}"/>
</file>

<file path=customXml/itemProps2.xml><?xml version="1.0" encoding="utf-8"?>
<ds:datastoreItem xmlns:ds="http://schemas.openxmlformats.org/officeDocument/2006/customXml" ds:itemID="{3CB4AF0D-0D2A-4829-878B-8953EBDE6CE0}"/>
</file>

<file path=customXml/itemProps3.xml><?xml version="1.0" encoding="utf-8"?>
<ds:datastoreItem xmlns:ds="http://schemas.openxmlformats.org/officeDocument/2006/customXml" ds:itemID="{8F1A92C6-720D-4BFE-A653-1EBD14D5920B}"/>
</file>

<file path=customXml/itemProps4.xml><?xml version="1.0" encoding="utf-8"?>
<ds:datastoreItem xmlns:ds="http://schemas.openxmlformats.org/officeDocument/2006/customXml" ds:itemID="{404BE18E-7BE1-41BC-B561-9FC02DE8E9DC}">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7e329c68-5cbf-4e54-96e5-e53e71021bd2"/>
    <ds:schemaRef ds:uri="http://purl.org/dc/elements/1.1/"/>
    <ds:schemaRef ds:uri="ec50576e-4a27-4780-a1e1-e59563bc70b8"/>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7A3CC789-2F4D-4178-B3D4-0D2CA2F00081}">
  <ds:schemaRefs>
    <ds:schemaRef ds:uri="Microsoft.SharePoint.Taxonomy.ContentTypeSync"/>
  </ds:schemaRefs>
</ds:datastoreItem>
</file>

<file path=customXml/itemProps6.xml><?xml version="1.0" encoding="utf-8"?>
<ds:datastoreItem xmlns:ds="http://schemas.openxmlformats.org/officeDocument/2006/customXml" ds:itemID="{05B6C182-C6A2-43CA-8EC3-56B041946A2A}"/>
</file>

<file path=customXml/itemProps7.xml><?xml version="1.0" encoding="utf-8"?>
<ds:datastoreItem xmlns:ds="http://schemas.openxmlformats.org/officeDocument/2006/customXml" ds:itemID="{2791F54D-D8F2-4330-8B75-6EEEB8EEF1B5}"/>
</file>

<file path=docProps/app.xml><?xml version="1.0" encoding="utf-8"?>
<Properties xmlns="http://schemas.openxmlformats.org/officeDocument/2006/extended-properties" xmlns:vt="http://schemas.openxmlformats.org/officeDocument/2006/docPropsVTypes">
  <Template>Normal</Template>
  <TotalTime>0</TotalTime>
  <Pages>12</Pages>
  <Words>5130</Words>
  <Characters>29243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34305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Tailee Vecchi</dc:creator>
  <cp:lastModifiedBy>Tailee Vecchi</cp:lastModifiedBy>
  <cp:revision>2</cp:revision>
  <cp:lastPrinted>2017-01-20T03:36:00Z</cp:lastPrinted>
  <dcterms:created xsi:type="dcterms:W3CDTF">2021-03-11T02:48:00Z</dcterms:created>
  <dcterms:modified xsi:type="dcterms:W3CDTF">2021-03-11T02:48:00Z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168;#GM|13538662-5097-4a97-b7d8-ef83c4e6adf2</vt:lpwstr>
  </property>
  <property fmtid="{D5CDD505-2E9C-101B-9397-08002B2CF9AE}" pid="4" name="DisposalClass">
    <vt:lpwstr/>
  </property>
  <property fmtid="{D5CDD505-2E9C-101B-9397-08002B2CF9AE}" pid="5" name="_dlc_DocIdItemGuid">
    <vt:lpwstr>d878fe3c-92a1-46a2-b319-4eaef02c56d7</vt:lpwstr>
  </property>
  <property fmtid="{D5CDD505-2E9C-101B-9397-08002B2CF9AE}" pid="6" name="SPPCopyMoveEvent">
    <vt:lpwstr>1</vt:lpwstr>
  </property>
  <property fmtid="{D5CDD505-2E9C-101B-9397-08002B2CF9AE}" pid="7" name="RecordPoint_WorkflowType">
    <vt:lpwstr>ActiveSubmitStub</vt:lpwstr>
  </property>
  <property fmtid="{D5CDD505-2E9C-101B-9397-08002B2CF9AE}" pid="8" name="RecordPoint_ActiveItemSiteId">
    <vt:lpwstr>{dd95a578-5c6a-4f11-92f7-f95884d628d6}</vt:lpwstr>
  </property>
  <property fmtid="{D5CDD505-2E9C-101B-9397-08002B2CF9AE}" pid="9" name="RecordPoint_ActiveItemListId">
    <vt:lpwstr>{0d5c8d84-1ec6-4568-a9fd-f2c7dc95da5f}</vt:lpwstr>
  </property>
  <property fmtid="{D5CDD505-2E9C-101B-9397-08002B2CF9AE}" pid="10" name="RecordPoint_ActiveItemUniqueId">
    <vt:lpwstr>{d878fe3c-92a1-46a2-b319-4eaef02c56d7}</vt:lpwstr>
  </property>
  <property fmtid="{D5CDD505-2E9C-101B-9397-08002B2CF9AE}" pid="11" name="RecordPoint_ActiveItemWebId">
    <vt:lpwstr>{56efa3ca-49f6-42b6-86df-c7af6da77576}</vt:lpwstr>
  </property>
  <property fmtid="{D5CDD505-2E9C-101B-9397-08002B2CF9AE}" pid="12" name="RecordPoint_RecordNumberSubmitted">
    <vt:lpwstr>R0000129413</vt:lpwstr>
  </property>
  <property fmtid="{D5CDD505-2E9C-101B-9397-08002B2CF9AE}" pid="13" name="RecordPoint_SubmissionCompleted">
    <vt:lpwstr>2020-10-05T14:10:26.3137208+11:00</vt:lpwstr>
  </property>
  <property fmtid="{D5CDD505-2E9C-101B-9397-08002B2CF9AE}" pid="14" name="docIndexRef">
    <vt:lpwstr>11f3eed2-a643-4a3b-94d0-aaba6c8d052b</vt:lpwstr>
  </property>
  <property fmtid="{D5CDD505-2E9C-101B-9397-08002B2CF9AE}" pid="15" name="bjSaver">
    <vt:lpwstr>wIZH/hvDSvqwZYteUn4bSB/6nOVlgwUP</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uid="dd6c74cc-0de9-4a0a-85ef-439e2ceecf74" value="" /&gt;&lt;/sisl&gt;</vt:lpwstr>
  </property>
  <property fmtid="{D5CDD505-2E9C-101B-9397-08002B2CF9AE}" pid="18" name="bjDocumentSecurityLabel">
    <vt:lpwstr>OFFICIAL</vt:lpwstr>
  </property>
  <property fmtid="{D5CDD505-2E9C-101B-9397-08002B2CF9AE}" pid="19" name="bjHeaderBothDocProperty">
    <vt:lpwstr>OFFICIAL_x000d_
 </vt:lpwstr>
  </property>
  <property fmtid="{D5CDD505-2E9C-101B-9397-08002B2CF9AE}" pid="20" name="bjHeaderFirstPageDocProperty">
    <vt:lpwstr>OFFICIAL_x000d_
 </vt:lpwstr>
  </property>
  <property fmtid="{D5CDD505-2E9C-101B-9397-08002B2CF9AE}" pid="21" name="bjHeaderEvenPageDocProperty">
    <vt:lpwstr>OFFICIAL_x000d_
 </vt:lpwstr>
  </property>
  <property fmtid="{D5CDD505-2E9C-101B-9397-08002B2CF9AE}" pid="22" name="bjFooterBothDocProperty">
    <vt:lpwstr>_x000d_
OFFICIAL </vt:lpwstr>
  </property>
  <property fmtid="{D5CDD505-2E9C-101B-9397-08002B2CF9AE}" pid="23" name="bjFooterFirstPageDocProperty">
    <vt:lpwstr>_x000d_
OFFICIAL </vt:lpwstr>
  </property>
  <property fmtid="{D5CDD505-2E9C-101B-9397-08002B2CF9AE}" pid="24" name="bjFooterEvenPageDocProperty">
    <vt:lpwstr>_x000d_
OFFICIAL </vt:lpwstr>
  </property>
</Properties>
</file>